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0E5E" w14:textId="7ACD6586" w:rsidR="0012489A" w:rsidRPr="00D172A5" w:rsidRDefault="0012489A" w:rsidP="0012489A">
      <w:pPr>
        <w:pStyle w:val="Heading1ANZPAC"/>
        <w:rPr>
          <w:lang w:val="en-AU"/>
        </w:rPr>
      </w:pPr>
      <w:bookmarkStart w:id="0" w:name="colour_PET_flake"/>
      <w:bookmarkStart w:id="1" w:name="_Toc72330763"/>
      <w:bookmarkEnd w:id="0"/>
      <w:r w:rsidRPr="00D172A5">
        <w:rPr>
          <w:lang w:val="en-AU"/>
        </w:rPr>
        <w:t>Specifications for coloured polyethylene terephthalate (PET) cold washed flake</w:t>
      </w:r>
      <w:bookmarkEnd w:id="1"/>
    </w:p>
    <w:p w14:paraId="0CBED140" w14:textId="77777777" w:rsidR="0012489A" w:rsidRPr="00D172A5" w:rsidRDefault="0012489A" w:rsidP="0012489A">
      <w:pPr>
        <w:pStyle w:val="BodyCopyAPCO"/>
        <w:rPr>
          <w:lang w:val="en-AU"/>
        </w:rPr>
      </w:pPr>
      <w:r w:rsidRPr="00D172A5">
        <w:rPr>
          <w:lang w:val="en-AU"/>
        </w:rPr>
        <w:t>These generic specifications have been prepared to assist Australian secondary plastics treatment facilities produce coloured recycled PET (</w:t>
      </w:r>
      <w:proofErr w:type="spellStart"/>
      <w:r w:rsidRPr="00D172A5">
        <w:rPr>
          <w:lang w:val="en-AU"/>
        </w:rPr>
        <w:t>rPET</w:t>
      </w:r>
      <w:proofErr w:type="spellEnd"/>
      <w:r w:rsidRPr="00D172A5">
        <w:rPr>
          <w:lang w:val="en-AU"/>
        </w:rPr>
        <w:t>) flake or pellets to US and EU standards in Australia and overseas for non-food applications. These specifications are voluntary.</w:t>
      </w:r>
    </w:p>
    <w:p w14:paraId="15C74F30" w14:textId="77777777" w:rsidR="0012489A" w:rsidRPr="00D172A5" w:rsidRDefault="0012489A" w:rsidP="0012489A">
      <w:pPr>
        <w:pStyle w:val="BodyCopyAPCO"/>
        <w:rPr>
          <w:lang w:val="en-AU"/>
        </w:rPr>
      </w:pPr>
    </w:p>
    <w:p w14:paraId="0F6E3BC7" w14:textId="4EE62B23" w:rsidR="0012489A" w:rsidRPr="00D172A5" w:rsidRDefault="0012489A" w:rsidP="0012489A">
      <w:pPr>
        <w:pStyle w:val="BodyCopyAPCO"/>
        <w:rPr>
          <w:lang w:val="en-AU"/>
        </w:rPr>
      </w:pPr>
      <w:r w:rsidRPr="00D172A5">
        <w:rPr>
          <w:lang w:val="en-AU"/>
        </w:rPr>
        <w:t>There is diversity in the capacity of plastics processing facilities. Some include sorting, hot wash</w:t>
      </w:r>
      <w:r w:rsidR="007B79EB">
        <w:rPr>
          <w:lang w:val="en-AU"/>
        </w:rPr>
        <w:t xml:space="preserve"> or cold wash</w:t>
      </w:r>
      <w:r w:rsidRPr="00D172A5">
        <w:rPr>
          <w:lang w:val="en-AU"/>
        </w:rPr>
        <w:t>, flake and compounding, and some specialise in compounding and pelletising for manufacturers of packaging and products. All companies should seek details from their customers on their specific requirements. The test methods in the table below are included for reference.</w:t>
      </w:r>
    </w:p>
    <w:p w14:paraId="18CEF29E" w14:textId="77777777" w:rsidR="0012489A" w:rsidRPr="00D172A5" w:rsidRDefault="0012489A" w:rsidP="0012489A">
      <w:pPr>
        <w:pStyle w:val="BodyCopyAPCO"/>
        <w:rPr>
          <w:lang w:val="en-AU"/>
        </w:rPr>
      </w:pPr>
    </w:p>
    <w:p w14:paraId="7B2D25E9" w14:textId="563E5331" w:rsidR="0012489A" w:rsidRPr="00D172A5" w:rsidRDefault="0012489A" w:rsidP="0012489A">
      <w:pPr>
        <w:pStyle w:val="BodyCopyAPCO"/>
        <w:rPr>
          <w:lang w:val="en-AU"/>
        </w:rPr>
      </w:pPr>
      <w:r w:rsidRPr="00D172A5">
        <w:rPr>
          <w:lang w:val="en-AU"/>
        </w:rPr>
        <w:t>These specifications have been developed in consultation with experts in the sector on national and international trends on markets, price, quality, equipment and processes. We acknowledge Plastics Recyclers Europe for the generic template, specifications from The Netherlands, and the contribution of MRF operators, plastics processors and other industry experts in helping prepare this generic specification.</w:t>
      </w:r>
    </w:p>
    <w:p w14:paraId="300A56B1" w14:textId="17ACA09D" w:rsidR="0012489A" w:rsidRPr="00D172A5" w:rsidRDefault="0012489A" w:rsidP="0012489A">
      <w:pPr>
        <w:pStyle w:val="BodyCopyAPCO"/>
        <w:rPr>
          <w:lang w:val="en-AU"/>
        </w:rPr>
      </w:pPr>
    </w:p>
    <w:p w14:paraId="51B42F6F" w14:textId="0BD0B3B9" w:rsidR="0012489A" w:rsidRPr="00D172A5" w:rsidRDefault="0012489A" w:rsidP="0012489A">
      <w:pPr>
        <w:pStyle w:val="Heading2ANZPAC"/>
        <w:rPr>
          <w:lang w:val="en-AU"/>
        </w:rPr>
      </w:pPr>
      <w:bookmarkStart w:id="2" w:name="_Toc72330765"/>
      <w:r w:rsidRPr="00D172A5">
        <w:rPr>
          <w:lang w:val="en-AU"/>
        </w:rPr>
        <w:t>Two streams of rigid PET</w:t>
      </w:r>
      <w:bookmarkEnd w:id="2"/>
    </w:p>
    <w:p w14:paraId="088C8C18" w14:textId="236E6AC9" w:rsidR="0012489A" w:rsidRPr="00D172A5" w:rsidRDefault="0012489A" w:rsidP="0012489A">
      <w:pPr>
        <w:pStyle w:val="BodyCopyAPCO"/>
        <w:rPr>
          <w:lang w:val="en-AU"/>
        </w:rPr>
      </w:pPr>
      <w:r w:rsidRPr="00D172A5">
        <w:rPr>
          <w:lang w:val="en-AU"/>
        </w:rPr>
        <w:t xml:space="preserve">There are two common streams of rigid PET packaging that have different physical properties and hence different value in the Australian and global markets. These specifications are geared to coloured and thermoformed PET. </w:t>
      </w:r>
    </w:p>
    <w:p w14:paraId="5E035D8F" w14:textId="77777777" w:rsidR="0012489A" w:rsidRPr="00D172A5" w:rsidRDefault="0012489A" w:rsidP="0012489A">
      <w:pPr>
        <w:pStyle w:val="BodyCopyAPCO"/>
        <w:rPr>
          <w:lang w:val="en-AU"/>
        </w:rPr>
      </w:pPr>
    </w:p>
    <w:p w14:paraId="12E7353C" w14:textId="77777777" w:rsidR="0012489A" w:rsidRPr="00D172A5" w:rsidRDefault="0012489A" w:rsidP="0012489A">
      <w:pPr>
        <w:pStyle w:val="BodyCopyAPCO"/>
        <w:rPr>
          <w:lang w:val="en-AU"/>
        </w:rPr>
      </w:pPr>
      <w:r w:rsidRPr="00D172A5">
        <w:rPr>
          <w:lang w:val="en-AU"/>
        </w:rPr>
        <w:t>These specifications cover:</w:t>
      </w:r>
    </w:p>
    <w:p w14:paraId="4AF20155" w14:textId="4769CB87" w:rsidR="0012489A" w:rsidRPr="00D172A5" w:rsidRDefault="0012489A" w:rsidP="007B0137">
      <w:pPr>
        <w:pStyle w:val="BodyCopyAPCO"/>
        <w:numPr>
          <w:ilvl w:val="0"/>
          <w:numId w:val="11"/>
        </w:numPr>
        <w:rPr>
          <w:lang w:val="en-AU"/>
        </w:rPr>
      </w:pPr>
      <w:r w:rsidRPr="00D172A5">
        <w:rPr>
          <w:lang w:val="en-AU"/>
        </w:rPr>
        <w:t>Coloured PET that may be used for non-food packaging applications i.e., household chemical bottles e.g., turpentine etc.</w:t>
      </w:r>
    </w:p>
    <w:p w14:paraId="4129FF1B" w14:textId="33304621" w:rsidR="0012489A" w:rsidRPr="00D172A5" w:rsidRDefault="0012489A" w:rsidP="007B0137">
      <w:pPr>
        <w:pStyle w:val="BodyCopyAPCO"/>
        <w:numPr>
          <w:ilvl w:val="0"/>
          <w:numId w:val="11"/>
        </w:numPr>
        <w:rPr>
          <w:lang w:val="en-AU"/>
        </w:rPr>
      </w:pPr>
      <w:r w:rsidRPr="00D172A5">
        <w:rPr>
          <w:lang w:val="en-AU"/>
        </w:rPr>
        <w:t xml:space="preserve">Thermoformed PET trays, clam shells and punnets. </w:t>
      </w:r>
    </w:p>
    <w:p w14:paraId="5DFF3A5A" w14:textId="77777777" w:rsidR="0012489A" w:rsidRPr="00D172A5" w:rsidRDefault="0012489A" w:rsidP="0012489A">
      <w:pPr>
        <w:pStyle w:val="BodyCopyAPCO"/>
        <w:rPr>
          <w:lang w:val="en-AU"/>
        </w:rPr>
      </w:pPr>
    </w:p>
    <w:p w14:paraId="549A787B" w14:textId="5855E40F" w:rsidR="0012489A" w:rsidRPr="00D172A5" w:rsidRDefault="0012489A" w:rsidP="0012489A">
      <w:pPr>
        <w:pStyle w:val="BodyCopyAPCO"/>
        <w:rPr>
          <w:lang w:val="en-AU"/>
        </w:rPr>
      </w:pPr>
      <w:r w:rsidRPr="00D172A5">
        <w:rPr>
          <w:lang w:val="en-AU"/>
        </w:rPr>
        <w:t xml:space="preserve">For </w:t>
      </w:r>
      <w:hyperlink r:id="rId8" w:history="1">
        <w:r w:rsidRPr="00B469F4">
          <w:rPr>
            <w:rStyle w:val="Hyperlink"/>
            <w:lang w:val="en-AU"/>
          </w:rPr>
          <w:t>clear uncoloured PET bottles</w:t>
        </w:r>
      </w:hyperlink>
      <w:r w:rsidRPr="00D172A5">
        <w:rPr>
          <w:lang w:val="en-AU"/>
        </w:rPr>
        <w:t xml:space="preserve"> refer to the other specifications within this series.</w:t>
      </w:r>
    </w:p>
    <w:p w14:paraId="27AA54BB" w14:textId="4A82A436" w:rsidR="0012489A" w:rsidRPr="00D172A5" w:rsidRDefault="0012489A" w:rsidP="0012489A">
      <w:pPr>
        <w:pStyle w:val="BodyCopyAPCO"/>
        <w:rPr>
          <w:lang w:val="en-AU"/>
        </w:rPr>
      </w:pPr>
    </w:p>
    <w:p w14:paraId="67BCC52D" w14:textId="43D9BD8B" w:rsidR="0012489A" w:rsidRPr="00D172A5" w:rsidRDefault="0012489A" w:rsidP="0012489A">
      <w:pPr>
        <w:pStyle w:val="Heading2ANZPAC"/>
        <w:rPr>
          <w:lang w:val="en-AU"/>
        </w:rPr>
      </w:pPr>
      <w:bookmarkStart w:id="3" w:name="_Toc72330766"/>
      <w:r w:rsidRPr="00D172A5">
        <w:rPr>
          <w:lang w:val="en-AU"/>
        </w:rPr>
        <w:t>PET packaging design</w:t>
      </w:r>
      <w:bookmarkEnd w:id="3"/>
    </w:p>
    <w:p w14:paraId="4FE54C54" w14:textId="32C1B174" w:rsidR="0012489A" w:rsidRPr="00D172A5" w:rsidRDefault="0012489A" w:rsidP="0012489A">
      <w:pPr>
        <w:rPr>
          <w:rFonts w:ascii="Arial" w:hAnsi="Arial" w:cs="Arial"/>
          <w:sz w:val="20"/>
          <w:szCs w:val="20"/>
        </w:rPr>
      </w:pPr>
      <w:r w:rsidRPr="00D172A5">
        <w:rPr>
          <w:rFonts w:ascii="Arial" w:hAnsi="Arial" w:cs="Arial"/>
          <w:sz w:val="20"/>
          <w:szCs w:val="20"/>
        </w:rPr>
        <w:t>For PET packaging design, the following resources</w:t>
      </w:r>
      <w:r w:rsidR="005926AF" w:rsidRPr="00D172A5">
        <w:rPr>
          <w:rFonts w:ascii="Arial" w:hAnsi="Arial" w:cs="Arial"/>
          <w:sz w:val="20"/>
          <w:szCs w:val="20"/>
        </w:rPr>
        <w:t xml:space="preserve"> are available</w:t>
      </w:r>
      <w:r w:rsidRPr="00D172A5">
        <w:rPr>
          <w:rFonts w:ascii="Arial" w:hAnsi="Arial" w:cs="Arial"/>
          <w:sz w:val="20"/>
          <w:szCs w:val="20"/>
        </w:rPr>
        <w:t>:</w:t>
      </w:r>
    </w:p>
    <w:p w14:paraId="2AAE0B75" w14:textId="77777777" w:rsidR="0012489A" w:rsidRPr="00D172A5" w:rsidRDefault="00B469F4" w:rsidP="007B0137">
      <w:pPr>
        <w:pStyle w:val="ListParagraph"/>
        <w:numPr>
          <w:ilvl w:val="0"/>
          <w:numId w:val="12"/>
        </w:numPr>
        <w:spacing w:after="160" w:line="259" w:lineRule="auto"/>
        <w:rPr>
          <w:rFonts w:ascii="Arial" w:hAnsi="Arial" w:cs="Arial"/>
          <w:sz w:val="20"/>
          <w:szCs w:val="20"/>
        </w:rPr>
      </w:pPr>
      <w:hyperlink r:id="rId9" w:history="1">
        <w:proofErr w:type="spellStart"/>
        <w:r w:rsidR="0012489A" w:rsidRPr="00D172A5">
          <w:rPr>
            <w:rStyle w:val="Hyperlink"/>
            <w:rFonts w:ascii="Arial" w:hAnsi="Arial" w:cs="Arial"/>
            <w:sz w:val="20"/>
            <w:szCs w:val="20"/>
          </w:rPr>
          <w:t>Quickstart</w:t>
        </w:r>
        <w:proofErr w:type="spellEnd"/>
        <w:r w:rsidR="0012489A" w:rsidRPr="00D172A5">
          <w:rPr>
            <w:rStyle w:val="Hyperlink"/>
            <w:rFonts w:ascii="Arial" w:hAnsi="Arial" w:cs="Arial"/>
            <w:sz w:val="20"/>
            <w:szCs w:val="20"/>
          </w:rPr>
          <w:t xml:space="preserve"> Guide to Designing for Recyclability: PET Packaging</w:t>
        </w:r>
      </w:hyperlink>
      <w:r w:rsidR="0012489A" w:rsidRPr="00D172A5">
        <w:rPr>
          <w:rFonts w:ascii="Arial" w:hAnsi="Arial" w:cs="Arial"/>
          <w:sz w:val="20"/>
          <w:szCs w:val="20"/>
        </w:rPr>
        <w:t xml:space="preserve"> </w:t>
      </w:r>
    </w:p>
    <w:p w14:paraId="71FA5248" w14:textId="77777777" w:rsidR="0012489A" w:rsidRPr="00D172A5" w:rsidRDefault="0012489A" w:rsidP="007B0137">
      <w:pPr>
        <w:pStyle w:val="ListParagraph"/>
        <w:numPr>
          <w:ilvl w:val="0"/>
          <w:numId w:val="12"/>
        </w:numPr>
        <w:spacing w:after="160" w:line="259" w:lineRule="auto"/>
        <w:rPr>
          <w:rStyle w:val="Hyperlink"/>
          <w:rFonts w:ascii="Arial" w:hAnsi="Arial" w:cs="Arial"/>
          <w:sz w:val="20"/>
          <w:szCs w:val="20"/>
        </w:rPr>
      </w:pPr>
      <w:r w:rsidRPr="00D172A5">
        <w:rPr>
          <w:rFonts w:ascii="Arial" w:hAnsi="Arial" w:cs="Arial"/>
          <w:sz w:val="20"/>
          <w:szCs w:val="20"/>
        </w:rPr>
        <w:fldChar w:fldCharType="begin"/>
      </w:r>
      <w:r w:rsidRPr="00D172A5">
        <w:rPr>
          <w:rFonts w:ascii="Arial" w:hAnsi="Arial" w:cs="Arial"/>
          <w:sz w:val="20"/>
          <w:szCs w:val="20"/>
        </w:rPr>
        <w:instrText xml:space="preserve"> HYPERLINK "https://documents.packagingcovenant.org.au/public-documents/Action%20Plan%20for%20Problematic%20and%20Unnecessary%20Single-Use%20Plastic%20Packaging" </w:instrText>
      </w:r>
      <w:r w:rsidRPr="00D172A5">
        <w:rPr>
          <w:rFonts w:ascii="Arial" w:hAnsi="Arial" w:cs="Arial"/>
          <w:sz w:val="20"/>
          <w:szCs w:val="20"/>
        </w:rPr>
        <w:fldChar w:fldCharType="separate"/>
      </w:r>
      <w:r w:rsidRPr="00D172A5">
        <w:rPr>
          <w:rStyle w:val="Hyperlink"/>
          <w:rFonts w:ascii="Arial" w:hAnsi="Arial" w:cs="Arial"/>
          <w:sz w:val="20"/>
          <w:szCs w:val="20"/>
        </w:rPr>
        <w:t>Action Plan for Problematic and Unnecessary Single-Use Plastic Packaging</w:t>
      </w:r>
    </w:p>
    <w:p w14:paraId="2B3378A3" w14:textId="77777777" w:rsidR="0012489A" w:rsidRPr="00D172A5" w:rsidRDefault="0012489A" w:rsidP="007B0137">
      <w:pPr>
        <w:pStyle w:val="ListParagraph"/>
        <w:numPr>
          <w:ilvl w:val="0"/>
          <w:numId w:val="12"/>
        </w:numPr>
        <w:spacing w:after="160" w:line="259" w:lineRule="auto"/>
        <w:rPr>
          <w:rFonts w:ascii="Arial" w:hAnsi="Arial" w:cs="Arial"/>
          <w:sz w:val="20"/>
          <w:szCs w:val="20"/>
        </w:rPr>
      </w:pPr>
      <w:r w:rsidRPr="00D172A5">
        <w:rPr>
          <w:rFonts w:ascii="Arial" w:hAnsi="Arial" w:cs="Arial"/>
          <w:sz w:val="20"/>
          <w:szCs w:val="20"/>
        </w:rPr>
        <w:fldChar w:fldCharType="end"/>
      </w:r>
      <w:hyperlink r:id="rId10" w:history="1">
        <w:r w:rsidRPr="00D172A5">
          <w:rPr>
            <w:rStyle w:val="Hyperlink"/>
            <w:rFonts w:ascii="Arial" w:hAnsi="Arial" w:cs="Arial"/>
            <w:sz w:val="20"/>
            <w:szCs w:val="20"/>
          </w:rPr>
          <w:t>Sustainable Packaging Guidelines</w:t>
        </w:r>
      </w:hyperlink>
    </w:p>
    <w:p w14:paraId="4955BF3C" w14:textId="77777777" w:rsidR="00CE6E6E" w:rsidRPr="00D172A5" w:rsidRDefault="00CE6E6E" w:rsidP="0094156B">
      <w:pPr>
        <w:pStyle w:val="BodyCopyAPCO"/>
        <w:rPr>
          <w:lang w:val="en-AU"/>
        </w:rPr>
        <w:sectPr w:rsidR="00CE6E6E" w:rsidRPr="00D172A5" w:rsidSect="00267B83">
          <w:headerReference w:type="default" r:id="rId11"/>
          <w:footerReference w:type="default" r:id="rId12"/>
          <w:footerReference w:type="first" r:id="rId13"/>
          <w:pgSz w:w="11900" w:h="16840"/>
          <w:pgMar w:top="2280" w:right="1440" w:bottom="1440" w:left="1440" w:header="426" w:footer="414" w:gutter="0"/>
          <w:cols w:space="708"/>
          <w:docGrid w:linePitch="360"/>
        </w:sectPr>
      </w:pPr>
    </w:p>
    <w:p w14:paraId="4240636F" w14:textId="2B5A7C0D" w:rsidR="00CE6E6E" w:rsidRPr="00D172A5" w:rsidRDefault="00CE6E6E" w:rsidP="0094156B">
      <w:pPr>
        <w:pStyle w:val="BodyCopyAPCO"/>
        <w:rPr>
          <w:lang w:val="en-AU"/>
        </w:rPr>
      </w:pPr>
    </w:p>
    <w:p w14:paraId="03D090EF" w14:textId="7ACCD5DA" w:rsidR="0012489A" w:rsidRPr="00D172A5" w:rsidRDefault="00CE6E6E" w:rsidP="00CE6E6E">
      <w:pPr>
        <w:pStyle w:val="Heading2ANZPAC"/>
        <w:rPr>
          <w:lang w:val="en-AU"/>
        </w:rPr>
      </w:pPr>
      <w:bookmarkStart w:id="4" w:name="_Toc72330768"/>
      <w:r w:rsidRPr="00D172A5">
        <w:rPr>
          <w:lang w:val="en-AU"/>
        </w:rPr>
        <w:t>Specifications for coloured polyethylene terephthalate (PET) cold washed flake</w:t>
      </w:r>
      <w:bookmarkEnd w:id="4"/>
    </w:p>
    <w:p w14:paraId="288F7FFF" w14:textId="38F94569" w:rsidR="00CE6E6E" w:rsidRPr="00D172A5" w:rsidRDefault="00CE6E6E" w:rsidP="00CE6E6E">
      <w:pPr>
        <w:pStyle w:val="BodyCopyAPCO"/>
        <w:rPr>
          <w:lang w:val="en-AU"/>
        </w:rPr>
      </w:pPr>
      <w:r w:rsidRPr="00D172A5">
        <w:rPr>
          <w:lang w:val="en-AU"/>
        </w:rPr>
        <w:t>Instructions: Enter responses into the relevant fields as appropriate to your operations, outputs and customers. Some parts of these specifications are more important than others for entry of data for compliance. For example, contamination and colour are more important than density of flake in the bag. Testing methods are suggested (from EU templates); specify if using alternative test methods particularly for export. Testing may not be a required element for Australian customers, but may be required for export licences.</w:t>
      </w:r>
    </w:p>
    <w:p w14:paraId="4DE88FAE" w14:textId="6DDCEB70" w:rsidR="0083667D" w:rsidRPr="00D172A5" w:rsidRDefault="0083667D" w:rsidP="00CE6E6E">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2437"/>
        <w:tblLook w:val="04A0" w:firstRow="1" w:lastRow="0" w:firstColumn="1" w:lastColumn="0" w:noHBand="0" w:noVBand="1"/>
      </w:tblPr>
      <w:tblGrid>
        <w:gridCol w:w="4074"/>
        <w:gridCol w:w="9016"/>
      </w:tblGrid>
      <w:tr w:rsidR="0083667D" w:rsidRPr="00D172A5" w14:paraId="4694226A" w14:textId="77777777" w:rsidTr="00756C7B">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0D2437"/>
            <w:vAlign w:val="center"/>
          </w:tcPr>
          <w:p w14:paraId="0E2BEF9D" w14:textId="77777777" w:rsidR="0083667D" w:rsidRPr="00D172A5" w:rsidRDefault="0083667D" w:rsidP="00A3413A">
            <w:pPr>
              <w:spacing w:before="120" w:after="120"/>
              <w:jc w:val="center"/>
              <w:rPr>
                <w:rFonts w:ascii="Arial" w:hAnsi="Arial" w:cs="Arial"/>
                <w:b w:val="0"/>
                <w:bCs w:val="0"/>
                <w:sz w:val="24"/>
                <w:szCs w:val="20"/>
                <w:lang w:val="en-AU"/>
              </w:rPr>
            </w:pPr>
            <w:r w:rsidRPr="00D172A5">
              <w:rPr>
                <w:rFonts w:ascii="Arial" w:hAnsi="Arial" w:cs="Arial"/>
                <w:sz w:val="24"/>
                <w:szCs w:val="20"/>
                <w:lang w:val="en-AU"/>
              </w:rPr>
              <w:t>Supplier information</w:t>
            </w:r>
          </w:p>
        </w:tc>
      </w:tr>
      <w:tr w:rsidR="0083667D" w:rsidRPr="00D172A5" w14:paraId="43CDC399" w14:textId="77777777" w:rsidTr="00756C7B">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3BF9282E"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Company name</w:t>
            </w:r>
          </w:p>
          <w:p w14:paraId="60874739"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40C43FBB" w14:textId="77777777" w:rsidR="0083667D" w:rsidRPr="00D172A5" w:rsidRDefault="0083667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59573D67" w14:textId="77777777" w:rsidTr="00756C7B">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47D5962E"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Company address</w:t>
            </w:r>
          </w:p>
          <w:p w14:paraId="67EF3521"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5ED62BB2" w14:textId="77777777" w:rsidR="0083667D" w:rsidRPr="00D172A5" w:rsidRDefault="0083667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6B9D49B9" w14:textId="77777777" w:rsidTr="00756C7B">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tcBorders>
            <w:shd w:val="clear" w:color="auto" w:fill="0D2437"/>
            <w:vAlign w:val="center"/>
          </w:tcPr>
          <w:p w14:paraId="02DB8E49"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Additional sorting information</w:t>
            </w:r>
          </w:p>
          <w:p w14:paraId="3BEE2F48"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3B98AFCE" w14:textId="77777777" w:rsidR="0083667D" w:rsidRPr="00D172A5" w:rsidRDefault="0083667D" w:rsidP="00A3413A">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AU"/>
              </w:rPr>
            </w:pPr>
          </w:p>
        </w:tc>
      </w:tr>
      <w:tr w:rsidR="0083667D" w:rsidRPr="00D172A5" w14:paraId="1CFBD258" w14:textId="77777777" w:rsidTr="00756C7B">
        <w:trPr>
          <w:trHeight w:val="40"/>
        </w:trPr>
        <w:tc>
          <w:tcPr>
            <w:cnfStyle w:val="001000000000" w:firstRow="0" w:lastRow="0" w:firstColumn="1" w:lastColumn="0" w:oddVBand="0" w:evenVBand="0" w:oddHBand="0" w:evenHBand="0" w:firstRowFirstColumn="0" w:firstRowLastColumn="0" w:lastRowFirstColumn="0" w:lastRowLastColumn="0"/>
            <w:tcW w:w="1556" w:type="pct"/>
            <w:tcBorders>
              <w:left w:val="none" w:sz="0" w:space="0" w:color="auto"/>
              <w:bottom w:val="none" w:sz="0" w:space="0" w:color="auto"/>
            </w:tcBorders>
            <w:shd w:val="clear" w:color="auto" w:fill="0D2437"/>
            <w:vAlign w:val="center"/>
          </w:tcPr>
          <w:p w14:paraId="0C2240E3" w14:textId="77777777" w:rsidR="0083667D" w:rsidRPr="00D172A5" w:rsidRDefault="0083667D" w:rsidP="00A3413A">
            <w:pPr>
              <w:rPr>
                <w:rFonts w:ascii="Arial" w:hAnsi="Arial" w:cs="Arial"/>
                <w:b w:val="0"/>
                <w:bCs w:val="0"/>
                <w:sz w:val="20"/>
                <w:szCs w:val="20"/>
                <w:lang w:val="en-AU"/>
              </w:rPr>
            </w:pPr>
            <w:r w:rsidRPr="00D172A5">
              <w:rPr>
                <w:rFonts w:ascii="Arial" w:hAnsi="Arial" w:cs="Arial"/>
                <w:sz w:val="20"/>
                <w:szCs w:val="20"/>
                <w:lang w:val="en-AU"/>
              </w:rPr>
              <w:t>Date</w:t>
            </w:r>
          </w:p>
          <w:p w14:paraId="191FEF8D" w14:textId="77777777" w:rsidR="0083667D" w:rsidRPr="00D172A5" w:rsidRDefault="0083667D" w:rsidP="00A3413A">
            <w:pPr>
              <w:rPr>
                <w:rFonts w:ascii="Arial" w:hAnsi="Arial" w:cs="Arial"/>
                <w:sz w:val="20"/>
                <w:szCs w:val="20"/>
                <w:lang w:val="en-AU"/>
              </w:rPr>
            </w:pPr>
          </w:p>
        </w:tc>
        <w:tc>
          <w:tcPr>
            <w:tcW w:w="3444" w:type="pct"/>
            <w:shd w:val="clear" w:color="auto" w:fill="auto"/>
          </w:tcPr>
          <w:p w14:paraId="7935B8B4" w14:textId="77777777" w:rsidR="0083667D" w:rsidRPr="00D172A5" w:rsidRDefault="0083667D" w:rsidP="00A3413A">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AU"/>
              </w:rPr>
            </w:pPr>
          </w:p>
        </w:tc>
      </w:tr>
    </w:tbl>
    <w:p w14:paraId="76574BC3" w14:textId="03C144AD" w:rsidR="00CE6E6E" w:rsidRPr="00D172A5" w:rsidRDefault="00CE6E6E" w:rsidP="00CE6E6E">
      <w:pPr>
        <w:pStyle w:val="BodyCopyAPCO"/>
        <w:rPr>
          <w:lang w:val="en-AU"/>
        </w:rPr>
      </w:pP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115"/>
        <w:gridCol w:w="3540"/>
        <w:gridCol w:w="4317"/>
      </w:tblGrid>
      <w:tr w:rsidR="0083667D" w:rsidRPr="00D172A5" w14:paraId="269BBD09" w14:textId="77777777" w:rsidTr="0037264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0D2437"/>
            <w:vAlign w:val="center"/>
          </w:tcPr>
          <w:p w14:paraId="3CA87BA2" w14:textId="1EC7BDC7" w:rsidR="0083667D" w:rsidRPr="00D172A5" w:rsidRDefault="0083667D" w:rsidP="00A3413A">
            <w:pPr>
              <w:jc w:val="center"/>
              <w:rPr>
                <w:rFonts w:ascii="Arial" w:hAnsi="Arial" w:cs="Arial"/>
                <w:sz w:val="24"/>
                <w:szCs w:val="24"/>
                <w:lang w:val="en-AU"/>
              </w:rPr>
            </w:pPr>
            <w:r w:rsidRPr="00D172A5">
              <w:rPr>
                <w:rFonts w:ascii="Arial" w:eastAsia="Calibri" w:hAnsi="Arial" w:cs="Arial"/>
                <w:sz w:val="24"/>
                <w:szCs w:val="24"/>
                <w:lang w:val="en-AU" w:eastAsia="ko-KR"/>
              </w:rPr>
              <w:t>Specifications for coloured polyethylene terephthalate (PET) cold washed flake</w:t>
            </w:r>
          </w:p>
        </w:tc>
      </w:tr>
      <w:tr w:rsidR="0083667D" w:rsidRPr="00D172A5" w14:paraId="4A479A52"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FAFCB2D" w14:textId="77777777" w:rsidR="0083667D" w:rsidRPr="00D172A5" w:rsidRDefault="0083667D" w:rsidP="00A3413A">
            <w:pPr>
              <w:rPr>
                <w:rFonts w:ascii="Arial" w:hAnsi="Arial" w:cs="Arial"/>
                <w:sz w:val="20"/>
                <w:szCs w:val="20"/>
                <w:lang w:val="en-AU"/>
              </w:rPr>
            </w:pPr>
          </w:p>
        </w:tc>
        <w:tc>
          <w:tcPr>
            <w:tcW w:w="1190" w:type="pct"/>
            <w:tcBorders>
              <w:top w:val="single" w:sz="4" w:space="0" w:color="auto"/>
              <w:left w:val="single" w:sz="4" w:space="0" w:color="auto"/>
              <w:bottom w:val="single" w:sz="4" w:space="0" w:color="auto"/>
              <w:right w:val="single" w:sz="4" w:space="0" w:color="auto"/>
            </w:tcBorders>
            <w:shd w:val="clear" w:color="auto" w:fill="CFD3D7"/>
            <w:vAlign w:val="center"/>
          </w:tcPr>
          <w:p w14:paraId="56124D12" w14:textId="77777777" w:rsidR="0083667D" w:rsidRPr="00D172A5" w:rsidRDefault="0083667D"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Enter data in this column</w:t>
            </w: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38F92" w14:textId="77777777" w:rsidR="0083667D" w:rsidRPr="00D172A5" w:rsidRDefault="0083667D" w:rsidP="00CA38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7F7F7F" w:themeColor="text1" w:themeTint="80"/>
                <w:sz w:val="20"/>
                <w:szCs w:val="20"/>
                <w:lang w:val="en-AU"/>
              </w:rPr>
            </w:pPr>
            <w:r w:rsidRPr="00D172A5">
              <w:rPr>
                <w:rFonts w:ascii="Arial" w:hAnsi="Arial" w:cs="Arial"/>
                <w:color w:val="7F7F7F" w:themeColor="text1" w:themeTint="80"/>
                <w:sz w:val="20"/>
                <w:szCs w:val="20"/>
                <w:lang w:val="en-AU"/>
              </w:rPr>
              <w:t>Good practice / description of options for responses</w:t>
            </w:r>
          </w:p>
        </w:tc>
      </w:tr>
      <w:tr w:rsidR="0083667D" w:rsidRPr="00D172A5" w14:paraId="5DD6E382"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76B30B1F" w14:textId="77777777" w:rsidR="0083667D" w:rsidRPr="00D172A5" w:rsidRDefault="0083667D" w:rsidP="0083667D">
            <w:pPr>
              <w:pStyle w:val="BodyCopyAPCO"/>
              <w:spacing w:before="120" w:after="120"/>
              <w:jc w:val="center"/>
              <w:rPr>
                <w:b w:val="0"/>
                <w:bCs w:val="0"/>
                <w:color w:val="0D2437"/>
                <w:lang w:val="en-AU"/>
              </w:rPr>
            </w:pPr>
            <w:r w:rsidRPr="00D172A5">
              <w:rPr>
                <w:color w:val="0D2437"/>
                <w:lang w:val="en-AU"/>
              </w:rPr>
              <w:t>Characteristics</w:t>
            </w:r>
          </w:p>
        </w:tc>
        <w:tc>
          <w:tcPr>
            <w:tcW w:w="3001" w:type="pct"/>
            <w:gridSpan w:val="2"/>
            <w:tcBorders>
              <w:left w:val="single" w:sz="4" w:space="0" w:color="auto"/>
            </w:tcBorders>
            <w:shd w:val="clear" w:color="auto" w:fill="CFD3D7"/>
            <w:vAlign w:val="center"/>
          </w:tcPr>
          <w:p w14:paraId="2840ED28" w14:textId="2699D5FD" w:rsidR="0083667D" w:rsidRPr="00D172A5" w:rsidRDefault="0083667D" w:rsidP="002A23D6">
            <w:pPr>
              <w:pStyle w:val="BodyCopyAPCO"/>
              <w:spacing w:before="120" w:after="120"/>
              <w:cnfStyle w:val="000000000000" w:firstRow="0" w:lastRow="0" w:firstColumn="0" w:lastColumn="0" w:oddVBand="0" w:evenVBand="0" w:oddHBand="0" w:evenHBand="0" w:firstRowFirstColumn="0" w:firstRowLastColumn="0" w:lastRowFirstColumn="0" w:lastRowLastColumn="0"/>
              <w:rPr>
                <w:color w:val="0D2437"/>
                <w:lang w:val="en-AU"/>
              </w:rPr>
            </w:pPr>
          </w:p>
        </w:tc>
      </w:tr>
      <w:tr w:rsidR="00514E86" w:rsidRPr="00D172A5" w14:paraId="3110F312"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7E2D31D" w14:textId="77777777" w:rsidR="004B42D5" w:rsidRPr="00D172A5" w:rsidRDefault="004B42D5" w:rsidP="002A23D6">
            <w:pPr>
              <w:pStyle w:val="BodyCopyAPCO"/>
              <w:rPr>
                <w:lang w:val="en-AU"/>
              </w:rPr>
            </w:pPr>
            <w:r w:rsidRPr="00D172A5">
              <w:rPr>
                <w:lang w:val="en-AU"/>
              </w:rPr>
              <w:t>Product name</w:t>
            </w:r>
          </w:p>
        </w:tc>
        <w:tc>
          <w:tcPr>
            <w:tcW w:w="1190" w:type="pct"/>
            <w:shd w:val="clear" w:color="auto" w:fill="CFD3D7"/>
            <w:vAlign w:val="center"/>
          </w:tcPr>
          <w:p w14:paraId="73C9ADB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1B1934F2"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Cold wash flake PET.</w:t>
            </w:r>
          </w:p>
        </w:tc>
      </w:tr>
      <w:tr w:rsidR="00514E86" w:rsidRPr="00D172A5" w14:paraId="24695FD0"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249B421" w14:textId="77777777" w:rsidR="004B42D5" w:rsidRPr="00D172A5" w:rsidRDefault="004B42D5" w:rsidP="002A23D6">
            <w:pPr>
              <w:pStyle w:val="BodyCopyAPCO"/>
              <w:rPr>
                <w:lang w:val="en-AU"/>
              </w:rPr>
            </w:pPr>
            <w:r w:rsidRPr="00D172A5">
              <w:rPr>
                <w:lang w:val="en-AU"/>
              </w:rPr>
              <w:t>Product reference</w:t>
            </w:r>
          </w:p>
        </w:tc>
        <w:tc>
          <w:tcPr>
            <w:tcW w:w="1190" w:type="pct"/>
            <w:shd w:val="clear" w:color="auto" w:fill="CFD3D7"/>
            <w:vAlign w:val="center"/>
          </w:tcPr>
          <w:p w14:paraId="109057D8"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3001" w:type="pct"/>
            <w:gridSpan w:val="2"/>
            <w:shd w:val="clear" w:color="auto" w:fill="auto"/>
            <w:vAlign w:val="center"/>
          </w:tcPr>
          <w:p w14:paraId="0C86A4B5"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Number xxx.</w:t>
            </w:r>
          </w:p>
        </w:tc>
      </w:tr>
      <w:tr w:rsidR="00514E86" w:rsidRPr="00D172A5" w14:paraId="50AF7D87"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98D80E8" w14:textId="77777777" w:rsidR="004B42D5" w:rsidRPr="00D172A5" w:rsidRDefault="004B42D5" w:rsidP="002A23D6">
            <w:pPr>
              <w:pStyle w:val="BodyCopyAPCO"/>
              <w:rPr>
                <w:lang w:val="en-AU"/>
              </w:rPr>
            </w:pPr>
            <w:r w:rsidRPr="00D172A5">
              <w:rPr>
                <w:lang w:val="en-AU"/>
              </w:rPr>
              <w:t>Origin of the materials</w:t>
            </w:r>
          </w:p>
        </w:tc>
        <w:tc>
          <w:tcPr>
            <w:tcW w:w="1190" w:type="pct"/>
            <w:shd w:val="clear" w:color="auto" w:fill="CFD3D7"/>
            <w:vAlign w:val="center"/>
          </w:tcPr>
          <w:p w14:paraId="44973606"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780053D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Post-consumer kerbside.</w:t>
            </w:r>
          </w:p>
          <w:p w14:paraId="3F9CC914"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Container Deposit Scheme (CDS).</w:t>
            </w:r>
          </w:p>
          <w:p w14:paraId="7CDACED1"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Post-industrial.</w:t>
            </w:r>
          </w:p>
          <w:p w14:paraId="713D1DD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Pre-consumer industrial.</w:t>
            </w:r>
          </w:p>
        </w:tc>
      </w:tr>
      <w:tr w:rsidR="00514E86" w:rsidRPr="00D172A5" w14:paraId="266B1F46"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76F8094" w14:textId="77777777" w:rsidR="004B42D5" w:rsidRPr="00D172A5" w:rsidRDefault="004B42D5" w:rsidP="002A23D6">
            <w:pPr>
              <w:pStyle w:val="BodyCopyAPCO"/>
              <w:rPr>
                <w:lang w:val="en-AU"/>
              </w:rPr>
            </w:pPr>
            <w:r w:rsidRPr="00D172A5">
              <w:rPr>
                <w:lang w:val="en-AU"/>
              </w:rPr>
              <w:lastRenderedPageBreak/>
              <w:t>Suitable applications for treated materials</w:t>
            </w:r>
          </w:p>
        </w:tc>
        <w:tc>
          <w:tcPr>
            <w:tcW w:w="1190" w:type="pct"/>
            <w:shd w:val="clear" w:color="auto" w:fill="CFD3D7"/>
            <w:vAlign w:val="center"/>
          </w:tcPr>
          <w:p w14:paraId="0BA4941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3001" w:type="pct"/>
            <w:gridSpan w:val="2"/>
            <w:shd w:val="clear" w:color="auto" w:fill="auto"/>
            <w:vAlign w:val="center"/>
          </w:tcPr>
          <w:p w14:paraId="43D32188"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Non-food grade packaging and products.</w:t>
            </w:r>
          </w:p>
          <w:p w14:paraId="15BA480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Non-packaging applications.</w:t>
            </w:r>
          </w:p>
        </w:tc>
      </w:tr>
      <w:tr w:rsidR="00514E86" w:rsidRPr="00D172A5" w14:paraId="222E5076"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769B8044" w14:textId="77777777" w:rsidR="004B42D5" w:rsidRPr="00D172A5" w:rsidRDefault="004B42D5" w:rsidP="002A23D6">
            <w:pPr>
              <w:pStyle w:val="BodyCopyAPCO"/>
              <w:rPr>
                <w:lang w:val="en-AU"/>
              </w:rPr>
            </w:pPr>
            <w:r w:rsidRPr="00D172A5">
              <w:rPr>
                <w:lang w:val="en-AU"/>
              </w:rPr>
              <w:t>Colour</w:t>
            </w:r>
          </w:p>
        </w:tc>
        <w:tc>
          <w:tcPr>
            <w:tcW w:w="1190" w:type="pct"/>
            <w:shd w:val="clear" w:color="auto" w:fill="CFD3D7"/>
            <w:vAlign w:val="center"/>
          </w:tcPr>
          <w:p w14:paraId="4694A79D"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3001" w:type="pct"/>
            <w:gridSpan w:val="2"/>
            <w:shd w:val="clear" w:color="auto" w:fill="auto"/>
            <w:vAlign w:val="center"/>
          </w:tcPr>
          <w:p w14:paraId="4FEF161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Describe flake colour (natural, blue, no opaque colours).</w:t>
            </w:r>
          </w:p>
        </w:tc>
      </w:tr>
      <w:tr w:rsidR="0083667D" w:rsidRPr="00D172A5" w14:paraId="42374621"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314A128D" w14:textId="47555995" w:rsidR="0083667D" w:rsidRPr="00D172A5" w:rsidRDefault="0083667D" w:rsidP="0083667D">
            <w:pPr>
              <w:pStyle w:val="BodyCopyAPCO"/>
              <w:spacing w:before="120" w:after="120"/>
              <w:rPr>
                <w:color w:val="0D2437"/>
                <w:lang w:val="en-AU"/>
              </w:rPr>
            </w:pPr>
            <w:r w:rsidRPr="00D172A5">
              <w:rPr>
                <w:color w:val="0D2437"/>
                <w:lang w:val="en-AU"/>
              </w:rPr>
              <w:t>Technical Properties</w:t>
            </w:r>
          </w:p>
        </w:tc>
        <w:tc>
          <w:tcPr>
            <w:tcW w:w="1352" w:type="pct"/>
            <w:shd w:val="clear" w:color="auto" w:fill="CFD3D7"/>
            <w:vAlign w:val="center"/>
          </w:tcPr>
          <w:p w14:paraId="01B68AC3" w14:textId="77777777" w:rsidR="0083667D" w:rsidRPr="00D172A5" w:rsidRDefault="0083667D" w:rsidP="0037264A">
            <w:pPr>
              <w:pStyle w:val="BodyCopyAPCO"/>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Unit</w:t>
            </w:r>
          </w:p>
        </w:tc>
        <w:tc>
          <w:tcPr>
            <w:tcW w:w="1649" w:type="pct"/>
            <w:shd w:val="clear" w:color="auto" w:fill="CFD3D7"/>
            <w:vAlign w:val="center"/>
          </w:tcPr>
          <w:p w14:paraId="52F5FEA8" w14:textId="77777777" w:rsidR="0083667D" w:rsidRPr="00D172A5" w:rsidRDefault="0083667D" w:rsidP="0037264A">
            <w:pPr>
              <w:pStyle w:val="BodyCopyAPCO"/>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Test method options</w:t>
            </w:r>
          </w:p>
        </w:tc>
      </w:tr>
      <w:tr w:rsidR="004B42D5" w:rsidRPr="00D172A5" w14:paraId="2482A428"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5D8A3B53" w14:textId="77777777" w:rsidR="004B42D5" w:rsidRPr="00D172A5" w:rsidRDefault="004B42D5" w:rsidP="002A23D6">
            <w:pPr>
              <w:pStyle w:val="BodyCopyAPCO"/>
              <w:rPr>
                <w:lang w:val="en-AU"/>
              </w:rPr>
            </w:pPr>
            <w:r w:rsidRPr="00D172A5">
              <w:rPr>
                <w:lang w:val="en-AU"/>
              </w:rPr>
              <w:t>Bulk density</w:t>
            </w:r>
          </w:p>
        </w:tc>
        <w:tc>
          <w:tcPr>
            <w:tcW w:w="1190" w:type="pct"/>
            <w:shd w:val="clear" w:color="auto" w:fill="CFD3D7"/>
            <w:vAlign w:val="center"/>
          </w:tcPr>
          <w:p w14:paraId="1B12C91B"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3AB9BE24"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250-500 g/cm</w:t>
            </w:r>
            <w:r w:rsidRPr="00D172A5">
              <w:rPr>
                <w:vertAlign w:val="superscript"/>
                <w:lang w:val="en-AU"/>
              </w:rPr>
              <w:t>3</w:t>
            </w:r>
            <w:r w:rsidRPr="00D172A5">
              <w:rPr>
                <w:lang w:val="en-AU"/>
              </w:rPr>
              <w:t xml:space="preserve"> or kg/m</w:t>
            </w:r>
            <w:r w:rsidRPr="00D172A5">
              <w:rPr>
                <w:vertAlign w:val="superscript"/>
                <w:lang w:val="en-AU"/>
              </w:rPr>
              <w:t>3</w:t>
            </w:r>
          </w:p>
        </w:tc>
        <w:tc>
          <w:tcPr>
            <w:tcW w:w="1649" w:type="pct"/>
            <w:shd w:val="clear" w:color="auto" w:fill="auto"/>
            <w:vAlign w:val="center"/>
          </w:tcPr>
          <w:p w14:paraId="02C040CD"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B ISO 12418-2 or ISO 60</w:t>
            </w:r>
          </w:p>
        </w:tc>
      </w:tr>
      <w:tr w:rsidR="004B42D5" w:rsidRPr="00D172A5" w14:paraId="3DBE9919"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42E06867" w14:textId="77777777" w:rsidR="004B42D5" w:rsidRPr="00D172A5" w:rsidRDefault="004B42D5" w:rsidP="002A23D6">
            <w:pPr>
              <w:pStyle w:val="BodyCopyAPCO"/>
              <w:rPr>
                <w:lang w:val="en-AU"/>
              </w:rPr>
            </w:pPr>
            <w:r w:rsidRPr="00D172A5">
              <w:rPr>
                <w:lang w:val="en-AU"/>
              </w:rPr>
              <w:t xml:space="preserve">Intrinsic Viscosity </w:t>
            </w:r>
            <w:r w:rsidRPr="00CF2F43">
              <w:rPr>
                <w:b w:val="0"/>
                <w:bCs w:val="0"/>
                <w:lang w:val="en-AU"/>
              </w:rPr>
              <w:t>(IV)</w:t>
            </w:r>
          </w:p>
        </w:tc>
        <w:tc>
          <w:tcPr>
            <w:tcW w:w="1190" w:type="pct"/>
            <w:shd w:val="clear" w:color="auto" w:fill="CFD3D7"/>
            <w:vAlign w:val="center"/>
          </w:tcPr>
          <w:p w14:paraId="3612080B" w14:textId="5B4F6D1F"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6CCB528E"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0.73-0.84 dl/g</w:t>
            </w:r>
          </w:p>
        </w:tc>
        <w:tc>
          <w:tcPr>
            <w:tcW w:w="1649" w:type="pct"/>
            <w:shd w:val="clear" w:color="auto" w:fill="auto"/>
            <w:vAlign w:val="center"/>
          </w:tcPr>
          <w:p w14:paraId="4F2AF324"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ISO 1628-5 or EN ISO 1133</w:t>
            </w:r>
          </w:p>
        </w:tc>
      </w:tr>
      <w:tr w:rsidR="004B42D5" w:rsidRPr="00D172A5" w14:paraId="08136B9E"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540438EF" w14:textId="77777777" w:rsidR="004B42D5" w:rsidRPr="00D172A5" w:rsidRDefault="004B42D5" w:rsidP="002A23D6">
            <w:pPr>
              <w:pStyle w:val="BodyCopyAPCO"/>
              <w:rPr>
                <w:lang w:val="en-AU"/>
              </w:rPr>
            </w:pPr>
            <w:r w:rsidRPr="00D172A5">
              <w:rPr>
                <w:lang w:val="en-AU"/>
              </w:rPr>
              <w:t>Melting temperature range</w:t>
            </w:r>
          </w:p>
        </w:tc>
        <w:tc>
          <w:tcPr>
            <w:tcW w:w="1190" w:type="pct"/>
            <w:shd w:val="clear" w:color="auto" w:fill="CFD3D7"/>
            <w:vAlign w:val="center"/>
          </w:tcPr>
          <w:p w14:paraId="41091565" w14:textId="06FA5F68"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1486A51A" w14:textId="4E2ACEE1" w:rsidR="004B42D5" w:rsidRPr="00D172A5" w:rsidRDefault="0083667D"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245 – 255 </w:t>
            </w:r>
            <w:r w:rsidR="004B42D5" w:rsidRPr="00D172A5">
              <w:rPr>
                <w:lang w:val="en-AU"/>
              </w:rPr>
              <w:t>°C</w:t>
            </w:r>
          </w:p>
        </w:tc>
        <w:tc>
          <w:tcPr>
            <w:tcW w:w="1649" w:type="pct"/>
            <w:shd w:val="clear" w:color="auto" w:fill="auto"/>
            <w:vAlign w:val="center"/>
          </w:tcPr>
          <w:p w14:paraId="0C788F05"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ISO 113547-3:2016</w:t>
            </w:r>
          </w:p>
        </w:tc>
      </w:tr>
      <w:tr w:rsidR="004B42D5" w:rsidRPr="00D172A5" w14:paraId="3CC74ACC"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6C1433BC" w14:textId="77777777" w:rsidR="004B42D5" w:rsidRPr="00D172A5" w:rsidRDefault="004B42D5" w:rsidP="002A23D6">
            <w:pPr>
              <w:pStyle w:val="BodyCopyAPCO"/>
              <w:rPr>
                <w:lang w:val="en-AU"/>
              </w:rPr>
            </w:pPr>
            <w:r w:rsidRPr="00D172A5">
              <w:rPr>
                <w:lang w:val="en-AU"/>
              </w:rPr>
              <w:t xml:space="preserve">Flake size </w:t>
            </w:r>
            <w:r w:rsidRPr="00CF2F43">
              <w:rPr>
                <w:b w:val="0"/>
                <w:bCs w:val="0"/>
                <w:lang w:val="en-AU"/>
              </w:rPr>
              <w:t>(average)</w:t>
            </w:r>
          </w:p>
        </w:tc>
        <w:tc>
          <w:tcPr>
            <w:tcW w:w="1190" w:type="pct"/>
            <w:shd w:val="clear" w:color="auto" w:fill="CFD3D7"/>
            <w:vAlign w:val="center"/>
          </w:tcPr>
          <w:p w14:paraId="5E119AFF" w14:textId="111A20DF"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64741176"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98% 3-12mm mm</w:t>
            </w:r>
          </w:p>
        </w:tc>
        <w:tc>
          <w:tcPr>
            <w:tcW w:w="1649" w:type="pct"/>
            <w:shd w:val="clear" w:color="auto" w:fill="auto"/>
            <w:vAlign w:val="center"/>
          </w:tcPr>
          <w:p w14:paraId="53CEBA20"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EN 15348:2007</w:t>
            </w:r>
          </w:p>
        </w:tc>
      </w:tr>
      <w:tr w:rsidR="004B42D5" w:rsidRPr="00D172A5" w14:paraId="474A59BC"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448D4089" w14:textId="77777777" w:rsidR="004B42D5" w:rsidRPr="00D172A5" w:rsidRDefault="004B42D5" w:rsidP="002A23D6">
            <w:pPr>
              <w:pStyle w:val="BodyCopyAPCO"/>
              <w:rPr>
                <w:lang w:val="en-AU"/>
              </w:rPr>
            </w:pPr>
            <w:r w:rsidRPr="00D172A5">
              <w:rPr>
                <w:lang w:val="en-AU"/>
              </w:rPr>
              <w:t xml:space="preserve">Flake distribution </w:t>
            </w:r>
            <w:r w:rsidRPr="00CF2F43">
              <w:rPr>
                <w:b w:val="0"/>
                <w:bCs w:val="0"/>
                <w:lang w:val="en-AU"/>
              </w:rPr>
              <w:t>(min – max)</w:t>
            </w:r>
          </w:p>
        </w:tc>
        <w:tc>
          <w:tcPr>
            <w:tcW w:w="1190" w:type="pct"/>
            <w:shd w:val="clear" w:color="auto" w:fill="CFD3D7"/>
            <w:vAlign w:val="center"/>
          </w:tcPr>
          <w:p w14:paraId="79F1AC18" w14:textId="594E3A9F"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____%  &lt; 1mm</w:t>
            </w:r>
          </w:p>
          <w:p w14:paraId="47641D3D" w14:textId="708530E5" w:rsidR="004B42D5" w:rsidRPr="00D172A5" w:rsidRDefault="00514E86"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____</w:t>
            </w:r>
            <w:r w:rsidR="004B42D5" w:rsidRPr="00D172A5">
              <w:rPr>
                <w:lang w:val="en-AU"/>
              </w:rPr>
              <w:t>%  ≥ 12mm</w:t>
            </w:r>
          </w:p>
        </w:tc>
        <w:tc>
          <w:tcPr>
            <w:tcW w:w="1352" w:type="pct"/>
            <w:shd w:val="clear" w:color="auto" w:fill="auto"/>
            <w:vAlign w:val="center"/>
          </w:tcPr>
          <w:p w14:paraId="66C2853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&lt;1mm = 0.5 </w:t>
            </w:r>
            <w:proofErr w:type="spellStart"/>
            <w:r w:rsidRPr="00D172A5">
              <w:rPr>
                <w:lang w:val="en-AU"/>
              </w:rPr>
              <w:t>wt</w:t>
            </w:r>
            <w:proofErr w:type="spellEnd"/>
            <w:r w:rsidRPr="00D172A5">
              <w:rPr>
                <w:lang w:val="en-AU"/>
              </w:rPr>
              <w:t>% max.</w:t>
            </w:r>
          </w:p>
          <w:p w14:paraId="4F7CDFC6"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 12mm = 0.1 </w:t>
            </w:r>
            <w:proofErr w:type="spellStart"/>
            <w:r w:rsidRPr="00D172A5">
              <w:rPr>
                <w:lang w:val="en-AU"/>
              </w:rPr>
              <w:t>wt</w:t>
            </w:r>
            <w:proofErr w:type="spellEnd"/>
            <w:r w:rsidRPr="00D172A5">
              <w:rPr>
                <w:lang w:val="en-AU"/>
              </w:rPr>
              <w:t xml:space="preserve">% </w:t>
            </w:r>
          </w:p>
        </w:tc>
        <w:tc>
          <w:tcPr>
            <w:tcW w:w="1649" w:type="pct"/>
            <w:shd w:val="clear" w:color="auto" w:fill="auto"/>
            <w:vAlign w:val="center"/>
          </w:tcPr>
          <w:p w14:paraId="04A19E8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EN 15348:2007</w:t>
            </w:r>
          </w:p>
        </w:tc>
      </w:tr>
      <w:tr w:rsidR="004B42D5" w:rsidRPr="00D172A5" w14:paraId="56942046"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0A6154D8" w14:textId="77777777" w:rsidR="004B42D5" w:rsidRPr="00D172A5" w:rsidRDefault="004B42D5" w:rsidP="002A23D6">
            <w:pPr>
              <w:pStyle w:val="BodyCopyAPCO"/>
              <w:rPr>
                <w:lang w:val="en-AU"/>
              </w:rPr>
            </w:pPr>
            <w:r w:rsidRPr="00D172A5">
              <w:rPr>
                <w:lang w:val="en-AU"/>
              </w:rPr>
              <w:t>Fines</w:t>
            </w:r>
          </w:p>
        </w:tc>
        <w:tc>
          <w:tcPr>
            <w:tcW w:w="1190" w:type="pct"/>
            <w:shd w:val="clear" w:color="auto" w:fill="CFD3D7"/>
            <w:vAlign w:val="center"/>
          </w:tcPr>
          <w:p w14:paraId="5300AA40" w14:textId="326BBFFD"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5B90338A"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1.00 weight %</w:t>
            </w:r>
          </w:p>
        </w:tc>
        <w:tc>
          <w:tcPr>
            <w:tcW w:w="1649" w:type="pct"/>
            <w:shd w:val="clear" w:color="auto" w:fill="auto"/>
            <w:vAlign w:val="center"/>
          </w:tcPr>
          <w:p w14:paraId="46160A40"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EN 15348:2007</w:t>
            </w:r>
          </w:p>
        </w:tc>
      </w:tr>
      <w:tr w:rsidR="004B42D5" w:rsidRPr="00D172A5" w14:paraId="4D02B0AD"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0BA71445" w14:textId="77777777" w:rsidR="004B42D5" w:rsidRPr="00D172A5" w:rsidRDefault="004B42D5" w:rsidP="002A23D6">
            <w:pPr>
              <w:pStyle w:val="BodyCopyAPCO"/>
              <w:rPr>
                <w:lang w:val="en-AU"/>
              </w:rPr>
            </w:pPr>
            <w:r w:rsidRPr="00D172A5">
              <w:rPr>
                <w:lang w:val="en-AU"/>
              </w:rPr>
              <w:t>Moisture</w:t>
            </w:r>
          </w:p>
        </w:tc>
        <w:tc>
          <w:tcPr>
            <w:tcW w:w="1190" w:type="pct"/>
            <w:shd w:val="clear" w:color="auto" w:fill="CFD3D7"/>
            <w:vAlign w:val="center"/>
          </w:tcPr>
          <w:p w14:paraId="23C151B1" w14:textId="6AB1107E"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4A67B6B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xml:space="preserve">≤ 1.00 % or lower </w:t>
            </w:r>
            <w:proofErr w:type="spellStart"/>
            <w:r w:rsidRPr="00D172A5">
              <w:rPr>
                <w:lang w:val="en-AU"/>
              </w:rPr>
              <w:t>ie</w:t>
            </w:r>
            <w:proofErr w:type="spellEnd"/>
            <w:r w:rsidRPr="00D172A5">
              <w:rPr>
                <w:lang w:val="en-AU"/>
              </w:rPr>
              <w:t xml:space="preserve"> ≤ 0.7 weight %</w:t>
            </w:r>
          </w:p>
          <w:p w14:paraId="07DA366C"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649" w:type="pct"/>
            <w:shd w:val="clear" w:color="auto" w:fill="auto"/>
            <w:vAlign w:val="center"/>
          </w:tcPr>
          <w:p w14:paraId="596684D4"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Moisture Analyser, Muffle oven or TGA weight loss at 105°C, EN ISO 287-2009</w:t>
            </w:r>
          </w:p>
        </w:tc>
      </w:tr>
      <w:tr w:rsidR="0083667D" w:rsidRPr="00D172A5" w14:paraId="6401C73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7D232A4E" w14:textId="74D5ED7E" w:rsidR="0083667D" w:rsidRPr="00D172A5" w:rsidRDefault="0083667D" w:rsidP="0083667D">
            <w:pPr>
              <w:pStyle w:val="BodyCopyAPCO"/>
              <w:spacing w:before="120" w:after="120"/>
              <w:jc w:val="center"/>
              <w:rPr>
                <w:color w:val="0D2437"/>
                <w:lang w:val="en-AU"/>
              </w:rPr>
            </w:pPr>
            <w:r w:rsidRPr="00D172A5">
              <w:rPr>
                <w:color w:val="0D2437"/>
                <w:lang w:val="en-AU"/>
              </w:rPr>
              <w:t>Impurities</w:t>
            </w:r>
          </w:p>
        </w:tc>
        <w:tc>
          <w:tcPr>
            <w:tcW w:w="1352" w:type="pct"/>
            <w:shd w:val="clear" w:color="auto" w:fill="CFD3D7"/>
            <w:vAlign w:val="center"/>
          </w:tcPr>
          <w:p w14:paraId="2776054C" w14:textId="2EEA4DE6" w:rsidR="0083667D" w:rsidRPr="00D172A5" w:rsidRDefault="0083667D" w:rsidP="0037264A">
            <w:pPr>
              <w:pStyle w:val="BodyCopyAPCO"/>
              <w:spacing w:before="120" w:after="120"/>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Impurities visible in flake</w:t>
            </w:r>
          </w:p>
        </w:tc>
        <w:tc>
          <w:tcPr>
            <w:tcW w:w="1649" w:type="pct"/>
            <w:shd w:val="clear" w:color="auto" w:fill="CFD3D7"/>
            <w:vAlign w:val="center"/>
          </w:tcPr>
          <w:p w14:paraId="75B60C46" w14:textId="77777777" w:rsidR="0083667D" w:rsidRPr="00D172A5" w:rsidRDefault="0083667D" w:rsidP="0037264A">
            <w:pPr>
              <w:pStyle w:val="BodyCopyAPCO"/>
              <w:spacing w:before="120" w:after="120"/>
              <w:jc w:val="center"/>
              <w:cnfStyle w:val="000000000000" w:firstRow="0" w:lastRow="0" w:firstColumn="0" w:lastColumn="0" w:oddVBand="0" w:evenVBand="0" w:oddHBand="0" w:evenHBand="0" w:firstRowFirstColumn="0" w:firstRowLastColumn="0" w:lastRowFirstColumn="0" w:lastRowLastColumn="0"/>
              <w:rPr>
                <w:color w:val="0D2437"/>
                <w:lang w:val="en-AU"/>
              </w:rPr>
            </w:pPr>
            <w:r w:rsidRPr="00D172A5">
              <w:rPr>
                <w:color w:val="0D2437"/>
                <w:lang w:val="en-AU"/>
              </w:rPr>
              <w:t>Visual inspection</w:t>
            </w:r>
          </w:p>
        </w:tc>
      </w:tr>
      <w:tr w:rsidR="004B42D5" w:rsidRPr="00D172A5" w14:paraId="515DF484"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3343CD6A" w14:textId="77777777" w:rsidR="004B42D5" w:rsidRPr="00D172A5" w:rsidRDefault="004B42D5" w:rsidP="002A23D6">
            <w:pPr>
              <w:pStyle w:val="BodyCopyAPCO"/>
              <w:rPr>
                <w:lang w:val="en-AU"/>
              </w:rPr>
            </w:pPr>
            <w:r w:rsidRPr="00D172A5">
              <w:rPr>
                <w:lang w:val="en-AU"/>
              </w:rPr>
              <w:t xml:space="preserve">Total impurities content </w:t>
            </w:r>
            <w:r w:rsidRPr="00CF2F43">
              <w:rPr>
                <w:b w:val="0"/>
                <w:bCs w:val="0"/>
                <w:lang w:val="en-AU"/>
              </w:rPr>
              <w:t>(max %)</w:t>
            </w:r>
          </w:p>
        </w:tc>
        <w:tc>
          <w:tcPr>
            <w:tcW w:w="1190" w:type="pct"/>
            <w:shd w:val="clear" w:color="auto" w:fill="CFD3D7"/>
            <w:vAlign w:val="center"/>
          </w:tcPr>
          <w:p w14:paraId="4B2C25D6" w14:textId="1021BDAC"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b/>
                <w:bCs/>
                <w:lang w:val="en-AU"/>
              </w:rPr>
            </w:pPr>
          </w:p>
        </w:tc>
        <w:tc>
          <w:tcPr>
            <w:tcW w:w="1352" w:type="pct"/>
            <w:shd w:val="clear" w:color="auto" w:fill="auto"/>
            <w:vAlign w:val="center"/>
          </w:tcPr>
          <w:p w14:paraId="77B463C5"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b/>
                <w:bCs/>
                <w:lang w:val="en-AU"/>
              </w:rPr>
              <w:t>≤ 80 ppm</w:t>
            </w:r>
          </w:p>
        </w:tc>
        <w:tc>
          <w:tcPr>
            <w:tcW w:w="1649" w:type="pct"/>
            <w:shd w:val="clear" w:color="auto" w:fill="auto"/>
            <w:vAlign w:val="center"/>
          </w:tcPr>
          <w:p w14:paraId="5E648562"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r>
      <w:tr w:rsidR="004B42D5" w:rsidRPr="00D172A5" w14:paraId="327B1F0F"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C7A45B8" w14:textId="77777777" w:rsidR="004B42D5" w:rsidRPr="00D172A5" w:rsidRDefault="004B42D5" w:rsidP="002A23D6">
            <w:pPr>
              <w:pStyle w:val="BodyCopyAPCO"/>
              <w:rPr>
                <w:lang w:val="en-AU"/>
              </w:rPr>
            </w:pPr>
            <w:r w:rsidRPr="00D172A5">
              <w:rPr>
                <w:lang w:val="en-AU"/>
              </w:rPr>
              <w:t>PVC content</w:t>
            </w:r>
          </w:p>
        </w:tc>
        <w:tc>
          <w:tcPr>
            <w:tcW w:w="1190" w:type="pct"/>
            <w:shd w:val="clear" w:color="auto" w:fill="CFD3D7"/>
            <w:vAlign w:val="center"/>
          </w:tcPr>
          <w:p w14:paraId="19D16E8D" w14:textId="797634B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128ACE5F"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50 ppm</w:t>
            </w:r>
          </w:p>
        </w:tc>
        <w:tc>
          <w:tcPr>
            <w:tcW w:w="1649" w:type="pct"/>
            <w:shd w:val="clear" w:color="auto" w:fill="auto"/>
            <w:vAlign w:val="center"/>
          </w:tcPr>
          <w:p w14:paraId="721BE05C"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23A1D310"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3863632F" w14:textId="77777777" w:rsidR="004B42D5" w:rsidRPr="00D172A5" w:rsidRDefault="004B42D5" w:rsidP="002A23D6">
            <w:pPr>
              <w:pStyle w:val="BodyCopyAPCO"/>
              <w:rPr>
                <w:lang w:val="en-AU"/>
              </w:rPr>
            </w:pPr>
            <w:r w:rsidRPr="00D172A5">
              <w:rPr>
                <w:lang w:val="en-AU"/>
              </w:rPr>
              <w:t xml:space="preserve">Polyolefins content </w:t>
            </w:r>
            <w:r w:rsidRPr="00CF2F43">
              <w:rPr>
                <w:b w:val="0"/>
                <w:bCs w:val="0"/>
                <w:lang w:val="en-AU"/>
              </w:rPr>
              <w:t>(PE, PP)</w:t>
            </w:r>
          </w:p>
        </w:tc>
        <w:tc>
          <w:tcPr>
            <w:tcW w:w="1190" w:type="pct"/>
            <w:shd w:val="clear" w:color="auto" w:fill="CFD3D7"/>
            <w:vAlign w:val="center"/>
          </w:tcPr>
          <w:p w14:paraId="57E0C8A8" w14:textId="46D14A64"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657EB2EA"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25 ppm</w:t>
            </w:r>
          </w:p>
        </w:tc>
        <w:tc>
          <w:tcPr>
            <w:tcW w:w="1649" w:type="pct"/>
            <w:shd w:val="clear" w:color="auto" w:fill="auto"/>
            <w:vAlign w:val="center"/>
          </w:tcPr>
          <w:p w14:paraId="48A2ABB3"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4119D08C"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22AC8E8" w14:textId="77777777" w:rsidR="004B42D5" w:rsidRPr="00D172A5" w:rsidRDefault="004B42D5" w:rsidP="002A23D6">
            <w:pPr>
              <w:pStyle w:val="BodyCopyAPCO"/>
              <w:rPr>
                <w:lang w:val="en-AU"/>
              </w:rPr>
            </w:pPr>
            <w:r w:rsidRPr="00D172A5">
              <w:rPr>
                <w:lang w:val="en-AU"/>
              </w:rPr>
              <w:t>Metal content</w:t>
            </w:r>
          </w:p>
        </w:tc>
        <w:tc>
          <w:tcPr>
            <w:tcW w:w="1190" w:type="pct"/>
            <w:shd w:val="clear" w:color="auto" w:fill="CFD3D7"/>
            <w:vAlign w:val="center"/>
          </w:tcPr>
          <w:p w14:paraId="0E6A39AF" w14:textId="661FA62F"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1C33BA6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20 ppm</w:t>
            </w:r>
          </w:p>
        </w:tc>
        <w:tc>
          <w:tcPr>
            <w:tcW w:w="1649" w:type="pct"/>
            <w:shd w:val="clear" w:color="auto" w:fill="auto"/>
            <w:vAlign w:val="center"/>
          </w:tcPr>
          <w:p w14:paraId="0782D45E"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7F95037A"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6625FC2" w14:textId="77777777" w:rsidR="004B42D5" w:rsidRPr="00D172A5" w:rsidRDefault="004B42D5" w:rsidP="002A23D6">
            <w:pPr>
              <w:pStyle w:val="BodyCopyAPCO"/>
              <w:rPr>
                <w:lang w:val="en-AU"/>
              </w:rPr>
            </w:pPr>
            <w:r w:rsidRPr="00D172A5">
              <w:rPr>
                <w:lang w:val="en-AU"/>
              </w:rPr>
              <w:t>Paper content</w:t>
            </w:r>
          </w:p>
        </w:tc>
        <w:tc>
          <w:tcPr>
            <w:tcW w:w="1190" w:type="pct"/>
            <w:shd w:val="clear" w:color="auto" w:fill="CFD3D7"/>
            <w:vAlign w:val="center"/>
          </w:tcPr>
          <w:p w14:paraId="5700413C" w14:textId="67373A54"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3FD377A2"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0 ppm</w:t>
            </w:r>
          </w:p>
        </w:tc>
        <w:tc>
          <w:tcPr>
            <w:tcW w:w="1649" w:type="pct"/>
            <w:shd w:val="clear" w:color="auto" w:fill="auto"/>
            <w:vAlign w:val="center"/>
          </w:tcPr>
          <w:p w14:paraId="2EA15DB7"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7E3A10B3"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2B362E6" w14:textId="77777777" w:rsidR="004B42D5" w:rsidRPr="00D172A5" w:rsidRDefault="004B42D5" w:rsidP="002A23D6">
            <w:pPr>
              <w:pStyle w:val="BodyCopyAPCO"/>
              <w:rPr>
                <w:lang w:val="en-AU"/>
              </w:rPr>
            </w:pPr>
            <w:r w:rsidRPr="00D172A5">
              <w:rPr>
                <w:lang w:val="en-AU"/>
              </w:rPr>
              <w:lastRenderedPageBreak/>
              <w:t>Wood content</w:t>
            </w:r>
          </w:p>
        </w:tc>
        <w:tc>
          <w:tcPr>
            <w:tcW w:w="1190" w:type="pct"/>
            <w:shd w:val="clear" w:color="auto" w:fill="CFD3D7"/>
            <w:vAlign w:val="center"/>
          </w:tcPr>
          <w:p w14:paraId="06E5C389" w14:textId="4CC59FE0"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shd w:val="clear" w:color="auto" w:fill="auto"/>
            <w:vAlign w:val="center"/>
          </w:tcPr>
          <w:p w14:paraId="378B182A"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0 ppm</w:t>
            </w:r>
          </w:p>
        </w:tc>
        <w:tc>
          <w:tcPr>
            <w:tcW w:w="1649" w:type="pct"/>
            <w:shd w:val="clear" w:color="auto" w:fill="auto"/>
            <w:vAlign w:val="center"/>
          </w:tcPr>
          <w:p w14:paraId="6E2AE25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369CCAB4"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tcBorders>
            <w:shd w:val="clear" w:color="auto" w:fill="auto"/>
            <w:vAlign w:val="center"/>
          </w:tcPr>
          <w:p w14:paraId="149F8EDA" w14:textId="77777777" w:rsidR="004B42D5" w:rsidRPr="00D172A5" w:rsidRDefault="004B42D5" w:rsidP="002A23D6">
            <w:pPr>
              <w:pStyle w:val="BodyCopyAPCO"/>
              <w:rPr>
                <w:lang w:val="en-AU"/>
              </w:rPr>
            </w:pPr>
            <w:r w:rsidRPr="00D172A5">
              <w:rPr>
                <w:lang w:val="en-AU"/>
              </w:rPr>
              <w:t>Other contaminants</w:t>
            </w:r>
          </w:p>
        </w:tc>
        <w:tc>
          <w:tcPr>
            <w:tcW w:w="1190" w:type="pct"/>
            <w:shd w:val="clear" w:color="auto" w:fill="CFD3D7"/>
            <w:vAlign w:val="center"/>
          </w:tcPr>
          <w:p w14:paraId="4838035B" w14:textId="54933BC6"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p>
        </w:tc>
        <w:tc>
          <w:tcPr>
            <w:tcW w:w="1352" w:type="pct"/>
            <w:shd w:val="clear" w:color="auto" w:fill="auto"/>
            <w:vAlign w:val="center"/>
          </w:tcPr>
          <w:p w14:paraId="27E5A2CF"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 10 ppm</w:t>
            </w:r>
          </w:p>
        </w:tc>
        <w:tc>
          <w:tcPr>
            <w:tcW w:w="1649" w:type="pct"/>
            <w:shd w:val="clear" w:color="auto" w:fill="auto"/>
            <w:vAlign w:val="center"/>
          </w:tcPr>
          <w:p w14:paraId="2FA3B67E"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Annex A of ISO 12418-2:2012 or Annex D of DIN EN 15348</w:t>
            </w:r>
          </w:p>
        </w:tc>
      </w:tr>
      <w:tr w:rsidR="004B42D5" w:rsidRPr="00D172A5" w14:paraId="1A98B4F9"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809" w:type="pct"/>
            <w:tcBorders>
              <w:left w:val="single" w:sz="4" w:space="0" w:color="auto"/>
              <w:bottom w:val="single" w:sz="4" w:space="0" w:color="auto"/>
            </w:tcBorders>
            <w:shd w:val="clear" w:color="auto" w:fill="auto"/>
            <w:vAlign w:val="center"/>
          </w:tcPr>
          <w:p w14:paraId="38192772" w14:textId="77777777" w:rsidR="004B42D5" w:rsidRPr="00D172A5" w:rsidRDefault="004B42D5" w:rsidP="002A23D6">
            <w:pPr>
              <w:pStyle w:val="BodyCopyAPCO"/>
              <w:rPr>
                <w:lang w:val="en-AU"/>
              </w:rPr>
            </w:pPr>
            <w:r w:rsidRPr="00D172A5">
              <w:rPr>
                <w:lang w:val="en-AU"/>
              </w:rPr>
              <w:t>Appearance</w:t>
            </w:r>
          </w:p>
        </w:tc>
        <w:tc>
          <w:tcPr>
            <w:tcW w:w="1190" w:type="pct"/>
            <w:tcBorders>
              <w:bottom w:val="single" w:sz="4" w:space="0" w:color="auto"/>
            </w:tcBorders>
            <w:shd w:val="clear" w:color="auto" w:fill="CFD3D7"/>
            <w:vAlign w:val="center"/>
          </w:tcPr>
          <w:p w14:paraId="380B01E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p>
        </w:tc>
        <w:tc>
          <w:tcPr>
            <w:tcW w:w="1352" w:type="pct"/>
            <w:tcBorders>
              <w:bottom w:val="single" w:sz="4" w:space="0" w:color="auto"/>
            </w:tcBorders>
            <w:shd w:val="clear" w:color="auto" w:fill="auto"/>
            <w:vAlign w:val="center"/>
          </w:tcPr>
          <w:p w14:paraId="1954CB52"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Describe if the flake has a normal appearance</w:t>
            </w:r>
          </w:p>
        </w:tc>
        <w:tc>
          <w:tcPr>
            <w:tcW w:w="1649" w:type="pct"/>
            <w:tcBorders>
              <w:bottom w:val="single" w:sz="4" w:space="0" w:color="auto"/>
            </w:tcBorders>
            <w:shd w:val="clear" w:color="auto" w:fill="auto"/>
            <w:vAlign w:val="center"/>
          </w:tcPr>
          <w:p w14:paraId="6508B871"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Visual inspection</w:t>
            </w:r>
          </w:p>
        </w:tc>
      </w:tr>
      <w:tr w:rsidR="00CA3871" w:rsidRPr="00D172A5" w14:paraId="58AA7678"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9" w:type="pct"/>
            <w:gridSpan w:val="2"/>
            <w:tcBorders>
              <w:left w:val="single" w:sz="4" w:space="0" w:color="auto"/>
            </w:tcBorders>
            <w:shd w:val="clear" w:color="auto" w:fill="CFD3D7"/>
            <w:vAlign w:val="center"/>
          </w:tcPr>
          <w:p w14:paraId="48378008" w14:textId="77777777" w:rsidR="00CA3871" w:rsidRPr="00D172A5" w:rsidRDefault="00CA3871" w:rsidP="008950E1">
            <w:pPr>
              <w:pStyle w:val="BodyCopyAPCO"/>
              <w:spacing w:before="120" w:after="120"/>
              <w:jc w:val="center"/>
              <w:rPr>
                <w:b w:val="0"/>
                <w:bCs w:val="0"/>
                <w:lang w:val="en-AU"/>
              </w:rPr>
            </w:pPr>
            <w:r w:rsidRPr="00D172A5">
              <w:rPr>
                <w:lang w:val="en-AU"/>
              </w:rPr>
              <w:t>Transport</w:t>
            </w:r>
          </w:p>
        </w:tc>
        <w:tc>
          <w:tcPr>
            <w:tcW w:w="3001" w:type="pct"/>
            <w:gridSpan w:val="2"/>
            <w:tcBorders>
              <w:left w:val="single" w:sz="4" w:space="0" w:color="auto"/>
            </w:tcBorders>
            <w:shd w:val="clear" w:color="auto" w:fill="CFD3D7"/>
            <w:vAlign w:val="center"/>
          </w:tcPr>
          <w:p w14:paraId="56460E96" w14:textId="0BBC0C7B" w:rsidR="00CA3871" w:rsidRPr="00D172A5" w:rsidRDefault="00CA3871" w:rsidP="002A23D6">
            <w:pPr>
              <w:pStyle w:val="BodyCopyAPCO"/>
              <w:spacing w:before="120" w:after="120"/>
              <w:cnfStyle w:val="000000100000" w:firstRow="0" w:lastRow="0" w:firstColumn="0" w:lastColumn="0" w:oddVBand="0" w:evenVBand="0" w:oddHBand="1" w:evenHBand="0" w:firstRowFirstColumn="0" w:firstRowLastColumn="0" w:lastRowFirstColumn="0" w:lastRowLastColumn="0"/>
              <w:rPr>
                <w:lang w:val="en-AU"/>
              </w:rPr>
            </w:pPr>
          </w:p>
        </w:tc>
      </w:tr>
      <w:tr w:rsidR="004B42D5" w:rsidRPr="00D172A5" w14:paraId="79D9EC57"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1E8FBB9A" w14:textId="77777777" w:rsidR="004B42D5" w:rsidRPr="00D172A5" w:rsidRDefault="004B42D5" w:rsidP="002A23D6">
            <w:pPr>
              <w:pStyle w:val="BodyCopyAPCO"/>
              <w:rPr>
                <w:lang w:val="en-AU"/>
              </w:rPr>
            </w:pPr>
            <w:r w:rsidRPr="00D172A5">
              <w:rPr>
                <w:lang w:val="en-AU"/>
              </w:rPr>
              <w:t>Packaging</w:t>
            </w:r>
          </w:p>
        </w:tc>
        <w:tc>
          <w:tcPr>
            <w:tcW w:w="3002" w:type="pct"/>
            <w:gridSpan w:val="2"/>
            <w:shd w:val="clear" w:color="auto" w:fill="auto"/>
            <w:vAlign w:val="center"/>
          </w:tcPr>
          <w:p w14:paraId="0B1CCCE7"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xml:space="preserve">Packed in new PP bulk bags, with labelling that includes information that covers: </w:t>
            </w:r>
          </w:p>
          <w:p w14:paraId="6AED781B"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 xml:space="preserve">Product code and name. </w:t>
            </w:r>
          </w:p>
          <w:p w14:paraId="33259ADF"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Batch number.</w:t>
            </w:r>
          </w:p>
          <w:p w14:paraId="44B3289D"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Date of manufacture.</w:t>
            </w:r>
          </w:p>
          <w:p w14:paraId="2829F371"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Name of manufacturer and production factory.</w:t>
            </w:r>
          </w:p>
          <w:p w14:paraId="6C6CF8CF" w14:textId="77777777" w:rsidR="004B42D5" w:rsidRPr="00D172A5" w:rsidRDefault="004B42D5" w:rsidP="0083667D">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Gross and tare weight.</w:t>
            </w:r>
          </w:p>
          <w:p w14:paraId="1E95F4B8" w14:textId="059EB6AD" w:rsidR="004B42D5" w:rsidRPr="006A2397" w:rsidRDefault="004B42D5" w:rsidP="002A23D6">
            <w:pPr>
              <w:pStyle w:val="BodyCopyAPCO"/>
              <w:numPr>
                <w:ilvl w:val="0"/>
                <w:numId w:val="30"/>
              </w:numPr>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Special hand</w:t>
            </w:r>
            <w:r w:rsidR="007B79EB">
              <w:rPr>
                <w:lang w:val="en-AU"/>
              </w:rPr>
              <w:t>l</w:t>
            </w:r>
            <w:r w:rsidRPr="00D172A5">
              <w:rPr>
                <w:lang w:val="en-AU"/>
              </w:rPr>
              <w:t>ing requirements.</w:t>
            </w:r>
          </w:p>
        </w:tc>
      </w:tr>
      <w:tr w:rsidR="004B42D5" w:rsidRPr="00D172A5" w14:paraId="4924348C" w14:textId="77777777" w:rsidTr="003726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tcBorders>
            <w:shd w:val="clear" w:color="auto" w:fill="auto"/>
            <w:vAlign w:val="center"/>
          </w:tcPr>
          <w:p w14:paraId="384CB9F8" w14:textId="77777777" w:rsidR="004B42D5" w:rsidRPr="00D172A5" w:rsidRDefault="004B42D5" w:rsidP="002A23D6">
            <w:pPr>
              <w:pStyle w:val="BodyCopyAPCO"/>
              <w:rPr>
                <w:lang w:val="en-AU"/>
              </w:rPr>
            </w:pPr>
            <w:r w:rsidRPr="00D172A5">
              <w:rPr>
                <w:lang w:val="en-AU"/>
              </w:rPr>
              <w:t>Transport/contract documents</w:t>
            </w:r>
          </w:p>
        </w:tc>
        <w:tc>
          <w:tcPr>
            <w:tcW w:w="3002" w:type="pct"/>
            <w:gridSpan w:val="2"/>
            <w:shd w:val="clear" w:color="auto" w:fill="auto"/>
            <w:vAlign w:val="center"/>
          </w:tcPr>
          <w:p w14:paraId="72873C60" w14:textId="77777777" w:rsidR="004B42D5" w:rsidRPr="00D172A5" w:rsidRDefault="004B42D5" w:rsidP="002A23D6">
            <w:pPr>
              <w:pStyle w:val="BodyCopyAPCO"/>
              <w:cnfStyle w:val="000000100000" w:firstRow="0" w:lastRow="0" w:firstColumn="0" w:lastColumn="0" w:oddVBand="0" w:evenVBand="0" w:oddHBand="1" w:evenHBand="0" w:firstRowFirstColumn="0" w:firstRowLastColumn="0" w:lastRowFirstColumn="0" w:lastRowLastColumn="0"/>
              <w:rPr>
                <w:lang w:val="en-AU"/>
              </w:rPr>
            </w:pPr>
            <w:r w:rsidRPr="00D172A5">
              <w:rPr>
                <w:lang w:val="en-AU"/>
              </w:rPr>
              <w:t>The documents will be provided upon delivery stating quantity, supplier, source, bag IDs.</w:t>
            </w:r>
          </w:p>
        </w:tc>
      </w:tr>
      <w:tr w:rsidR="004B42D5" w:rsidRPr="00D172A5" w14:paraId="36E8A5CB" w14:textId="77777777" w:rsidTr="0037264A">
        <w:trPr>
          <w:trHeight w:val="431"/>
        </w:trPr>
        <w:tc>
          <w:tcPr>
            <w:cnfStyle w:val="001000000000" w:firstRow="0" w:lastRow="0" w:firstColumn="1" w:lastColumn="0" w:oddVBand="0" w:evenVBand="0" w:oddHBand="0" w:evenHBand="0" w:firstRowFirstColumn="0" w:firstRowLastColumn="0" w:lastRowFirstColumn="0" w:lastRowLastColumn="0"/>
            <w:tcW w:w="1998" w:type="pct"/>
            <w:gridSpan w:val="2"/>
            <w:tcBorders>
              <w:left w:val="none" w:sz="0" w:space="0" w:color="auto"/>
              <w:bottom w:val="none" w:sz="0" w:space="0" w:color="auto"/>
            </w:tcBorders>
            <w:shd w:val="clear" w:color="auto" w:fill="auto"/>
            <w:vAlign w:val="center"/>
          </w:tcPr>
          <w:p w14:paraId="0D00BA80" w14:textId="77777777" w:rsidR="004B42D5" w:rsidRPr="00D172A5" w:rsidRDefault="004B42D5" w:rsidP="002A23D6">
            <w:pPr>
              <w:pStyle w:val="BodyCopyAPCO"/>
              <w:rPr>
                <w:lang w:val="en-AU"/>
              </w:rPr>
            </w:pPr>
            <w:r w:rsidRPr="00D172A5">
              <w:rPr>
                <w:lang w:val="en-AU"/>
              </w:rPr>
              <w:t>Truck load</w:t>
            </w:r>
          </w:p>
        </w:tc>
        <w:tc>
          <w:tcPr>
            <w:tcW w:w="3002" w:type="pct"/>
            <w:gridSpan w:val="2"/>
            <w:shd w:val="clear" w:color="auto" w:fill="auto"/>
            <w:vAlign w:val="center"/>
          </w:tcPr>
          <w:p w14:paraId="6FFF7998" w14:textId="77777777" w:rsidR="004B42D5" w:rsidRPr="00D172A5" w:rsidRDefault="004B42D5" w:rsidP="002A23D6">
            <w:pPr>
              <w:pStyle w:val="BodyCopyAPCO"/>
              <w:cnfStyle w:val="000000000000" w:firstRow="0" w:lastRow="0" w:firstColumn="0" w:lastColumn="0" w:oddVBand="0" w:evenVBand="0" w:oddHBand="0" w:evenHBand="0" w:firstRowFirstColumn="0" w:firstRowLastColumn="0" w:lastRowFirstColumn="0" w:lastRowLastColumn="0"/>
              <w:rPr>
                <w:lang w:val="en-AU"/>
              </w:rPr>
            </w:pPr>
            <w:r w:rsidRPr="00D172A5">
              <w:rPr>
                <w:lang w:val="en-AU"/>
              </w:rPr>
              <w:t>Tarpaulin truck 17-20 tonne load.</w:t>
            </w:r>
          </w:p>
        </w:tc>
      </w:tr>
    </w:tbl>
    <w:p w14:paraId="3609874C" w14:textId="5897603A" w:rsidR="0012489A" w:rsidRDefault="0012489A" w:rsidP="0012489A">
      <w:pPr>
        <w:rPr>
          <w:rFonts w:ascii="Arial" w:eastAsia="Calibri" w:hAnsi="Arial" w:cs="Arial"/>
          <w:color w:val="000000" w:themeColor="text1"/>
          <w:sz w:val="20"/>
          <w:szCs w:val="20"/>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5729"/>
      </w:tblGrid>
      <w:tr w:rsidR="006A2397" w14:paraId="55815BDB" w14:textId="77777777" w:rsidTr="006A2397">
        <w:tc>
          <w:tcPr>
            <w:tcW w:w="7371" w:type="dxa"/>
          </w:tcPr>
          <w:p w14:paraId="048895DE" w14:textId="77777777" w:rsidR="006A2397" w:rsidRPr="00D172A5" w:rsidRDefault="006A2397" w:rsidP="006A2397">
            <w:pPr>
              <w:pStyle w:val="Heading2ANZPAC"/>
              <w:rPr>
                <w:sz w:val="28"/>
                <w:szCs w:val="20"/>
                <w:lang w:val="en-AU"/>
              </w:rPr>
            </w:pPr>
            <w:r w:rsidRPr="00D172A5">
              <w:rPr>
                <w:sz w:val="28"/>
                <w:szCs w:val="20"/>
                <w:lang w:val="en-AU"/>
              </w:rPr>
              <w:t>Disclaimer</w:t>
            </w:r>
          </w:p>
          <w:p w14:paraId="13FAE685" w14:textId="34D2C2D2" w:rsidR="006A2397" w:rsidRPr="006A2397" w:rsidRDefault="006A2397" w:rsidP="006A2397">
            <w:pPr>
              <w:pStyle w:val="BodyCopyAPCO"/>
              <w:ind w:right="314"/>
              <w:jc w:val="both"/>
              <w:rPr>
                <w:sz w:val="16"/>
                <w:szCs w:val="16"/>
                <w:lang w:val="en-AU"/>
              </w:rPr>
            </w:pPr>
            <w:r w:rsidRPr="006A2397">
              <w:rPr>
                <w:sz w:val="16"/>
                <w:szCs w:val="16"/>
                <w:lang w:val="en-AU"/>
              </w:rPr>
              <w:t>APCO and the contributing authors have prepared this publication with a professional level of care. It is based on generally accepted practices and standards at the time it was prepared. The scope of the publication, the intended audience of the publication, the purpose of the publication, the methods adopted in preparing the publication and the sources of information used in the publication are stated in the publication. This publication is prepared for use only by APCO and expressly stated intended audience of the publication. APCO and the contributing authors are not liable for any loss or damage that may be occasioned directly or indirectly arising from or in connection with any use, or reliance on, the contents of this publication. It does not purport to give legal or financial advice. No other warranty, expressed or implied, is made as to the professional advice included in this publication.</w:t>
            </w:r>
          </w:p>
        </w:tc>
        <w:tc>
          <w:tcPr>
            <w:tcW w:w="5729" w:type="dxa"/>
          </w:tcPr>
          <w:p w14:paraId="0FC0F6CC" w14:textId="77777777" w:rsidR="006A2397" w:rsidRPr="00D172A5" w:rsidRDefault="006A2397" w:rsidP="006A2397">
            <w:pPr>
              <w:pStyle w:val="Heading2ANZPAC"/>
              <w:ind w:left="312"/>
              <w:rPr>
                <w:sz w:val="28"/>
                <w:szCs w:val="20"/>
                <w:lang w:val="en-AU"/>
              </w:rPr>
            </w:pPr>
            <w:r w:rsidRPr="00D172A5">
              <w:rPr>
                <w:sz w:val="28"/>
                <w:szCs w:val="20"/>
                <w:lang w:val="en-AU"/>
              </w:rPr>
              <w:t>Creative commons</w:t>
            </w:r>
          </w:p>
          <w:p w14:paraId="78C8B364" w14:textId="77777777" w:rsidR="006A2397" w:rsidRPr="006A2397" w:rsidRDefault="006A2397" w:rsidP="006A2397">
            <w:pPr>
              <w:pStyle w:val="BodyCopyAPCO"/>
              <w:ind w:left="312"/>
              <w:rPr>
                <w:sz w:val="16"/>
                <w:szCs w:val="16"/>
                <w:lang w:val="en-AU"/>
              </w:rPr>
            </w:pPr>
            <w:r w:rsidRPr="006A2397">
              <w:rPr>
                <w:sz w:val="16"/>
                <w:szCs w:val="16"/>
                <w:lang w:val="en-AU"/>
              </w:rPr>
              <w:t>This publication is licensed under an Attribution 4.0 International (CC BY 4.0) licence. In</w:t>
            </w:r>
          </w:p>
          <w:p w14:paraId="469707E0" w14:textId="77777777" w:rsidR="006A2397" w:rsidRPr="006A2397" w:rsidRDefault="006A2397" w:rsidP="006A2397">
            <w:pPr>
              <w:pStyle w:val="BodyCopyAPCO"/>
              <w:ind w:left="312"/>
              <w:rPr>
                <w:i/>
                <w:iCs/>
                <w:sz w:val="16"/>
                <w:szCs w:val="16"/>
                <w:lang w:val="en-AU"/>
              </w:rPr>
            </w:pPr>
            <w:r w:rsidRPr="006A2397">
              <w:rPr>
                <w:i/>
                <w:iCs/>
                <w:noProof/>
                <w:sz w:val="16"/>
                <w:szCs w:val="16"/>
                <w:lang w:val="en-AU"/>
              </w:rPr>
              <w:drawing>
                <wp:inline distT="0" distB="0" distL="0" distR="0" wp14:anchorId="288B22E9" wp14:editId="7CC70455">
                  <wp:extent cx="666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6A2397">
              <w:rPr>
                <w:sz w:val="16"/>
                <w:szCs w:val="16"/>
                <w:lang w:val="en-AU"/>
              </w:rPr>
              <w:t xml:space="preserve"> </w:t>
            </w:r>
            <w:r w:rsidRPr="006A2397">
              <w:rPr>
                <w:i/>
                <w:iCs/>
                <w:sz w:val="16"/>
                <w:szCs w:val="16"/>
                <w:lang w:val="en-AU"/>
              </w:rPr>
              <w:t xml:space="preserve">Australian Packaging Covenant Organisation,2021 </w:t>
            </w:r>
          </w:p>
          <w:p w14:paraId="2B1602A7" w14:textId="77777777" w:rsidR="006A2397" w:rsidRPr="006A2397" w:rsidRDefault="006A2397" w:rsidP="006A2397">
            <w:pPr>
              <w:pStyle w:val="BodyCopyAPCO"/>
              <w:ind w:left="312"/>
              <w:rPr>
                <w:i/>
                <w:iCs/>
                <w:sz w:val="16"/>
                <w:szCs w:val="16"/>
                <w:lang w:val="en-AU"/>
              </w:rPr>
            </w:pPr>
            <w:r w:rsidRPr="006A2397">
              <w:rPr>
                <w:i/>
                <w:iCs/>
                <w:sz w:val="16"/>
                <w:szCs w:val="16"/>
                <w:lang w:val="en-AU"/>
              </w:rPr>
              <w:t xml:space="preserve">This publication is copyright © 2021 by the Australian Packaging Covenant Organisation and is licensed under the Creative Commons Attribution 4.0 International License. </w:t>
            </w:r>
          </w:p>
          <w:p w14:paraId="1B6A3BB5" w14:textId="1488C011" w:rsidR="006A2397" w:rsidRPr="006A2397" w:rsidRDefault="006A2397" w:rsidP="006A2397">
            <w:pPr>
              <w:pStyle w:val="BodyCopyAPCO"/>
              <w:ind w:left="312"/>
              <w:rPr>
                <w:i/>
                <w:iCs/>
                <w:sz w:val="16"/>
                <w:szCs w:val="16"/>
                <w:lang w:val="en-AU"/>
              </w:rPr>
            </w:pPr>
            <w:r w:rsidRPr="006A2397">
              <w:rPr>
                <w:i/>
                <w:iCs/>
                <w:sz w:val="16"/>
                <w:szCs w:val="16"/>
                <w:lang w:val="en-AU"/>
              </w:rPr>
              <w:t>To view a copy of this license, visit hiips://creativecommons.org/licenses/by/4.0</w:t>
            </w:r>
          </w:p>
        </w:tc>
      </w:tr>
    </w:tbl>
    <w:p w14:paraId="68397886" w14:textId="7768CA7A" w:rsidR="00026328" w:rsidRPr="00D172A5" w:rsidRDefault="00026328" w:rsidP="00C25BC0">
      <w:pPr>
        <w:pStyle w:val="Heading1"/>
      </w:pPr>
      <w:bookmarkStart w:id="5" w:name="natural_hdpe"/>
      <w:bookmarkEnd w:id="5"/>
    </w:p>
    <w:sectPr w:rsidR="00026328" w:rsidRPr="00D172A5" w:rsidSect="00C25BC0">
      <w:headerReference w:type="default" r:id="rId16"/>
      <w:footerReference w:type="default" r:id="rId17"/>
      <w:headerReference w:type="first" r:id="rId18"/>
      <w:pgSz w:w="16820" w:h="11900" w:orient="landscape"/>
      <w:pgMar w:top="1440" w:right="2280" w:bottom="1440" w:left="1440" w:header="426"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FADB" w14:textId="77777777" w:rsidR="006A2397" w:rsidRDefault="006A2397">
      <w:r>
        <w:separator/>
      </w:r>
    </w:p>
  </w:endnote>
  <w:endnote w:type="continuationSeparator" w:id="0">
    <w:p w14:paraId="405E0D9D" w14:textId="77777777" w:rsidR="006A2397" w:rsidRDefault="006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Calibri"/>
    <w:panose1 w:val="00000000000000000000"/>
    <w:charset w:val="4D"/>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JOSEFIN SANS SEMIBOLD">
    <w:altName w:val="Calibri"/>
    <w:panose1 w:val="00000000000000000000"/>
    <w:charset w:val="4D"/>
    <w:family w:val="auto"/>
    <w:pitch w:val="variable"/>
    <w:sig w:usb0="A00000FF" w:usb1="4000204B" w:usb2="00000000" w:usb3="00000000" w:csb0="00000193" w:csb1="00000000"/>
  </w:font>
  <w:font w:name="Minion Pro">
    <w:altName w:val="Minion Pro"/>
    <w:panose1 w:val="00000000000000000000"/>
    <w:charset w:val="00"/>
    <w:family w:val="roman"/>
    <w:notTrueType/>
    <w:pitch w:val="variable"/>
    <w:sig w:usb0="60000287" w:usb1="00000001" w:usb2="00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01C0" w14:textId="77777777" w:rsidR="006A2397" w:rsidRDefault="006A2397" w:rsidP="00A3413A">
    <w:pPr>
      <w:pStyle w:val="Footer"/>
      <w:framePr w:wrap="none" w:vAnchor="text" w:hAnchor="margin" w:xAlign="right" w:y="1"/>
      <w:rPr>
        <w:rStyle w:val="PageNumber"/>
      </w:rPr>
    </w:pPr>
  </w:p>
  <w:p w14:paraId="08CEF0F2" w14:textId="77777777" w:rsidR="006A2397" w:rsidRDefault="006A2397" w:rsidP="00165296">
    <w:pPr>
      <w:pStyle w:val="Footer"/>
      <w:framePr w:wrap="none" w:vAnchor="text" w:hAnchor="margin" w:xAlign="right" w:y="1"/>
      <w:rPr>
        <w:rStyle w:val="PageNumber"/>
      </w:rPr>
    </w:pPr>
  </w:p>
  <w:p w14:paraId="05FE382D" w14:textId="77777777" w:rsidR="006A2397" w:rsidRDefault="006A2397" w:rsidP="00165296">
    <w:pPr>
      <w:pStyle w:val="Footer"/>
      <w:rPr>
        <w:rFonts w:ascii="Arial" w:hAnsi="Arial" w:cs="Arial"/>
        <w:b/>
        <w:color w:val="0D2437"/>
        <w:sz w:val="12"/>
        <w:szCs w:val="12"/>
      </w:rPr>
    </w:pPr>
  </w:p>
  <w:p w14:paraId="04BDDC09" w14:textId="77777777" w:rsidR="006A2397" w:rsidRPr="0086123F" w:rsidRDefault="006A2397" w:rsidP="00165296">
    <w:pPr>
      <w:pStyle w:val="Header"/>
      <w:pBdr>
        <w:bottom w:val="single" w:sz="6" w:space="1" w:color="auto"/>
      </w:pBdr>
      <w:rPr>
        <w:color w:val="0D2437"/>
        <w:sz w:val="6"/>
        <w:szCs w:val="6"/>
      </w:rPr>
    </w:pPr>
  </w:p>
  <w:p w14:paraId="02AEF5E7" w14:textId="77777777" w:rsidR="006A2397" w:rsidRPr="0086123F" w:rsidRDefault="006A2397" w:rsidP="00165296">
    <w:pPr>
      <w:pStyle w:val="Header"/>
      <w:ind w:right="68"/>
      <w:rPr>
        <w:color w:val="0D2437"/>
        <w:sz w:val="6"/>
        <w:szCs w:val="6"/>
      </w:rPr>
    </w:pPr>
  </w:p>
  <w:p w14:paraId="0D1C4DFA" w14:textId="77777777" w:rsidR="006A2397" w:rsidRPr="00586BE2" w:rsidRDefault="006A2397"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11E82600" w14:textId="77777777" w:rsidR="006A2397" w:rsidRPr="007D00F0" w:rsidRDefault="006A2397"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2098D116" w14:textId="5A511E90" w:rsidR="006A2397" w:rsidRPr="00165296" w:rsidRDefault="006A2397" w:rsidP="007D00F0">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81638605"/>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17</w:t>
        </w:r>
        <w:r w:rsidRPr="00C7121D">
          <w:rPr>
            <w:rStyle w:val="PageNumber"/>
            <w:rFonts w:ascii="Arial" w:hAnsi="Arial" w:cs="Arial"/>
            <w:b/>
            <w:bCs/>
            <w:color w:val="0D2437"/>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957" w14:textId="77777777" w:rsidR="00C25BC0" w:rsidRDefault="00C25BC0" w:rsidP="00C25BC0">
    <w:pPr>
      <w:pStyle w:val="Footer"/>
      <w:rPr>
        <w:rFonts w:ascii="Arial" w:hAnsi="Arial" w:cs="Arial"/>
        <w:b/>
        <w:color w:val="0D2437"/>
        <w:sz w:val="12"/>
        <w:szCs w:val="12"/>
      </w:rPr>
    </w:pPr>
  </w:p>
  <w:p w14:paraId="48256A5C" w14:textId="77777777" w:rsidR="00C25BC0" w:rsidRPr="0086123F" w:rsidRDefault="00C25BC0" w:rsidP="00C25BC0">
    <w:pPr>
      <w:pStyle w:val="Header"/>
      <w:pBdr>
        <w:bottom w:val="single" w:sz="6" w:space="1" w:color="auto"/>
      </w:pBdr>
      <w:rPr>
        <w:color w:val="0D2437"/>
        <w:sz w:val="6"/>
        <w:szCs w:val="6"/>
      </w:rPr>
    </w:pPr>
  </w:p>
  <w:p w14:paraId="5E6E1766" w14:textId="77777777" w:rsidR="00C25BC0" w:rsidRPr="0086123F" w:rsidRDefault="00C25BC0" w:rsidP="00C25BC0">
    <w:pPr>
      <w:pStyle w:val="Header"/>
      <w:ind w:right="68"/>
      <w:rPr>
        <w:color w:val="0D2437"/>
        <w:sz w:val="6"/>
        <w:szCs w:val="6"/>
      </w:rPr>
    </w:pPr>
  </w:p>
  <w:p w14:paraId="408484F0" w14:textId="77777777" w:rsidR="00C25BC0" w:rsidRPr="00586BE2" w:rsidRDefault="00C25BC0" w:rsidP="00C25BC0">
    <w:pPr>
      <w:pStyle w:val="Footer"/>
      <w:rPr>
        <w:rFonts w:ascii="Arial" w:hAnsi="Arial" w:cs="Arial"/>
        <w:b/>
        <w:color w:val="0D2437"/>
        <w:sz w:val="12"/>
        <w:szCs w:val="12"/>
      </w:rPr>
    </w:pPr>
    <w:r w:rsidRPr="00586BE2">
      <w:rPr>
        <w:rFonts w:ascii="Arial" w:hAnsi="Arial" w:cs="Arial"/>
        <w:b/>
        <w:color w:val="0D2437"/>
        <w:sz w:val="12"/>
        <w:szCs w:val="12"/>
      </w:rPr>
      <w:t>CONTACT:</w:t>
    </w:r>
  </w:p>
  <w:p w14:paraId="36ECBFB5" w14:textId="77777777" w:rsidR="00C25BC0" w:rsidRPr="007D00F0" w:rsidRDefault="00C25BC0" w:rsidP="00C25BC0">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33835866" w14:textId="77777777" w:rsidR="00C25BC0" w:rsidRPr="00165296" w:rsidRDefault="00C25BC0" w:rsidP="00C25BC0">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205721516"/>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1</w:t>
        </w:r>
        <w:r w:rsidRPr="00C7121D">
          <w:rPr>
            <w:rStyle w:val="PageNumber"/>
            <w:rFonts w:ascii="Arial" w:hAnsi="Arial" w:cs="Arial"/>
            <w:b/>
            <w:bCs/>
            <w:color w:val="0D2437"/>
            <w:sz w:val="16"/>
            <w:szCs w:val="16"/>
          </w:rPr>
          <w:fldChar w:fldCharType="end"/>
        </w:r>
      </w:sdtContent>
    </w:sdt>
  </w:p>
  <w:p w14:paraId="09681A8A" w14:textId="77777777" w:rsidR="00C25BC0" w:rsidRDefault="00C25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1078" w14:textId="77777777" w:rsidR="006A2397" w:rsidRDefault="006A2397" w:rsidP="00165296">
    <w:pPr>
      <w:pStyle w:val="Footer"/>
      <w:framePr w:wrap="none" w:vAnchor="text" w:hAnchor="margin" w:xAlign="right" w:y="1"/>
      <w:rPr>
        <w:rStyle w:val="PageNumber"/>
      </w:rPr>
    </w:pPr>
  </w:p>
  <w:p w14:paraId="7A0B8117" w14:textId="77777777" w:rsidR="006A2397" w:rsidRDefault="006A2397" w:rsidP="00165296">
    <w:pPr>
      <w:pStyle w:val="Footer"/>
      <w:rPr>
        <w:rFonts w:ascii="Arial" w:hAnsi="Arial" w:cs="Arial"/>
        <w:b/>
        <w:color w:val="0D2437"/>
        <w:sz w:val="12"/>
        <w:szCs w:val="12"/>
      </w:rPr>
    </w:pPr>
  </w:p>
  <w:p w14:paraId="266443B9" w14:textId="77777777" w:rsidR="006A2397" w:rsidRPr="0086123F" w:rsidRDefault="006A2397" w:rsidP="00165296">
    <w:pPr>
      <w:pStyle w:val="Header"/>
      <w:pBdr>
        <w:bottom w:val="single" w:sz="6" w:space="1" w:color="auto"/>
      </w:pBdr>
      <w:rPr>
        <w:color w:val="0D2437"/>
        <w:sz w:val="6"/>
        <w:szCs w:val="6"/>
      </w:rPr>
    </w:pPr>
  </w:p>
  <w:p w14:paraId="6F86C720" w14:textId="77777777" w:rsidR="006A2397" w:rsidRPr="0086123F" w:rsidRDefault="006A2397" w:rsidP="00165296">
    <w:pPr>
      <w:pStyle w:val="Header"/>
      <w:ind w:right="68"/>
      <w:rPr>
        <w:color w:val="0D2437"/>
        <w:sz w:val="6"/>
        <w:szCs w:val="6"/>
      </w:rPr>
    </w:pPr>
  </w:p>
  <w:p w14:paraId="20921C4D" w14:textId="77777777" w:rsidR="006A2397" w:rsidRPr="00586BE2" w:rsidRDefault="006A2397" w:rsidP="00165296">
    <w:pPr>
      <w:pStyle w:val="Footer"/>
      <w:rPr>
        <w:rFonts w:ascii="Arial" w:hAnsi="Arial" w:cs="Arial"/>
        <w:b/>
        <w:color w:val="0D2437"/>
        <w:sz w:val="12"/>
        <w:szCs w:val="12"/>
      </w:rPr>
    </w:pPr>
    <w:r w:rsidRPr="00586BE2">
      <w:rPr>
        <w:rFonts w:ascii="Arial" w:hAnsi="Arial" w:cs="Arial"/>
        <w:b/>
        <w:color w:val="0D2437"/>
        <w:sz w:val="12"/>
        <w:szCs w:val="12"/>
      </w:rPr>
      <w:t>CONTACT:</w:t>
    </w:r>
  </w:p>
  <w:p w14:paraId="20546B40" w14:textId="77777777" w:rsidR="006A2397" w:rsidRPr="007D00F0" w:rsidRDefault="006A2397" w:rsidP="00165296">
    <w:pPr>
      <w:pStyle w:val="Footer"/>
      <w:rPr>
        <w:rFonts w:ascii="Arial" w:hAnsi="Arial" w:cs="Arial"/>
        <w:color w:val="808389"/>
        <w:sz w:val="12"/>
        <w:szCs w:val="12"/>
      </w:rPr>
    </w:pPr>
    <w:r w:rsidRPr="007D00F0">
      <w:rPr>
        <w:rFonts w:ascii="Arial" w:hAnsi="Arial" w:cs="Arial"/>
        <w:b/>
        <w:color w:val="808389"/>
        <w:sz w:val="12"/>
        <w:szCs w:val="12"/>
      </w:rPr>
      <w:t>A:</w:t>
    </w:r>
    <w:r w:rsidRPr="007D00F0">
      <w:rPr>
        <w:rFonts w:ascii="Arial" w:hAnsi="Arial" w:cs="Arial"/>
        <w:color w:val="808389"/>
        <w:sz w:val="12"/>
        <w:szCs w:val="12"/>
      </w:rPr>
      <w:t xml:space="preserve"> Suite 1102, Level 11, 55 Clarence Street, Sydney, NSW, 2000</w:t>
    </w:r>
  </w:p>
  <w:p w14:paraId="61A32F58" w14:textId="77777777" w:rsidR="006A2397" w:rsidRPr="00165296" w:rsidRDefault="006A2397" w:rsidP="00165296">
    <w:pPr>
      <w:pStyle w:val="Footer"/>
      <w:rPr>
        <w:rFonts w:ascii="Arial" w:hAnsi="Arial" w:cs="Arial"/>
        <w:color w:val="8D3C66"/>
        <w:sz w:val="12"/>
        <w:szCs w:val="12"/>
        <w:u w:val="single"/>
      </w:rPr>
    </w:pPr>
    <w:r w:rsidRPr="007D00F0">
      <w:rPr>
        <w:rFonts w:ascii="Arial" w:hAnsi="Arial" w:cs="Arial"/>
        <w:b/>
        <w:color w:val="808389"/>
        <w:sz w:val="12"/>
        <w:szCs w:val="12"/>
      </w:rPr>
      <w:t>E:</w:t>
    </w:r>
    <w:r w:rsidRPr="007D00F0">
      <w:rPr>
        <w:rFonts w:ascii="Arial" w:hAnsi="Arial" w:cs="Arial"/>
        <w:color w:val="808389"/>
        <w:sz w:val="12"/>
        <w:szCs w:val="12"/>
      </w:rPr>
      <w:t xml:space="preserve"> </w:t>
    </w:r>
    <w:hyperlink r:id="rId1" w:history="1">
      <w:r w:rsidRPr="00586BE2">
        <w:rPr>
          <w:rStyle w:val="Hyperlink"/>
          <w:rFonts w:ascii="Arial" w:hAnsi="Arial" w:cs="Arial"/>
          <w:sz w:val="12"/>
          <w:szCs w:val="12"/>
        </w:rPr>
        <w:t>anzpac@apco.org.au</w:t>
      </w:r>
    </w:hyperlink>
    <w:r>
      <w:ptab w:relativeTo="margin" w:alignment="right" w:leader="none"/>
    </w:r>
    <w:sdt>
      <w:sdtPr>
        <w:rPr>
          <w:rStyle w:val="PageNumber"/>
        </w:rPr>
        <w:id w:val="707766084"/>
        <w:docPartObj>
          <w:docPartGallery w:val="Page Numbers (Bottom of Page)"/>
          <w:docPartUnique/>
        </w:docPartObj>
      </w:sdtPr>
      <w:sdtEndPr>
        <w:rPr>
          <w:rStyle w:val="PageNumber"/>
          <w:rFonts w:ascii="Arial" w:hAnsi="Arial" w:cs="Arial"/>
          <w:b/>
          <w:bCs/>
          <w:color w:val="0D2437"/>
          <w:sz w:val="16"/>
          <w:szCs w:val="16"/>
        </w:rPr>
      </w:sdtEndPr>
      <w:sdtContent>
        <w:r w:rsidRPr="00C7121D">
          <w:rPr>
            <w:rStyle w:val="PageNumber"/>
            <w:rFonts w:ascii="Arial" w:hAnsi="Arial" w:cs="Arial"/>
            <w:b/>
            <w:bCs/>
            <w:color w:val="0D2437"/>
            <w:sz w:val="16"/>
            <w:szCs w:val="16"/>
          </w:rPr>
          <w:fldChar w:fldCharType="begin"/>
        </w:r>
        <w:r w:rsidRPr="00C7121D">
          <w:rPr>
            <w:rStyle w:val="PageNumber"/>
            <w:rFonts w:ascii="Arial" w:hAnsi="Arial" w:cs="Arial"/>
            <w:b/>
            <w:bCs/>
            <w:color w:val="0D2437"/>
            <w:sz w:val="16"/>
            <w:szCs w:val="16"/>
          </w:rPr>
          <w:instrText xml:space="preserve"> PAGE </w:instrText>
        </w:r>
        <w:r w:rsidRPr="00C7121D">
          <w:rPr>
            <w:rStyle w:val="PageNumber"/>
            <w:rFonts w:ascii="Arial" w:hAnsi="Arial" w:cs="Arial"/>
            <w:b/>
            <w:bCs/>
            <w:color w:val="0D2437"/>
            <w:sz w:val="16"/>
            <w:szCs w:val="16"/>
          </w:rPr>
          <w:fldChar w:fldCharType="separate"/>
        </w:r>
        <w:r>
          <w:rPr>
            <w:rStyle w:val="PageNumber"/>
            <w:rFonts w:ascii="Arial" w:hAnsi="Arial" w:cs="Arial"/>
            <w:b/>
            <w:bCs/>
            <w:color w:val="0D2437"/>
            <w:sz w:val="16"/>
            <w:szCs w:val="16"/>
          </w:rPr>
          <w:t>2</w:t>
        </w:r>
        <w:r w:rsidRPr="00C7121D">
          <w:rPr>
            <w:rStyle w:val="PageNumber"/>
            <w:rFonts w:ascii="Arial" w:hAnsi="Arial" w:cs="Arial"/>
            <w:b/>
            <w:bCs/>
            <w:color w:val="0D2437"/>
            <w:sz w:val="16"/>
            <w:szCs w:val="16"/>
          </w:rPr>
          <w:fldChar w:fldCharType="end"/>
        </w:r>
      </w:sdtContent>
    </w:sdt>
  </w:p>
  <w:p w14:paraId="2438042A" w14:textId="77777777" w:rsidR="006A2397" w:rsidRPr="00165296" w:rsidRDefault="006A2397" w:rsidP="001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551C" w14:textId="77777777" w:rsidR="006A2397" w:rsidRDefault="006A2397">
      <w:r>
        <w:separator/>
      </w:r>
    </w:p>
  </w:footnote>
  <w:footnote w:type="continuationSeparator" w:id="0">
    <w:p w14:paraId="20FE8434" w14:textId="77777777" w:rsidR="006A2397" w:rsidRDefault="006A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7B40" w14:textId="48D60E96" w:rsidR="006A2397" w:rsidRDefault="006A2397" w:rsidP="00165296">
    <w:pPr>
      <w:pStyle w:val="Header"/>
      <w:pBdr>
        <w:bottom w:val="single" w:sz="6" w:space="1" w:color="auto"/>
      </w:pBdr>
    </w:pPr>
    <w:r>
      <w:rPr>
        <w:rFonts w:ascii="Arial" w:hAnsi="Arial" w:cs="Arial"/>
        <w:color w:val="808389"/>
        <w:sz w:val="16"/>
        <w:szCs w:val="16"/>
      </w:rPr>
      <w:t xml:space="preserve">Version 1.0 - </w:t>
    </w:r>
    <w:r w:rsidRPr="00295B72">
      <w:rPr>
        <w:rFonts w:ascii="Arial" w:hAnsi="Arial" w:cs="Arial"/>
        <w:color w:val="808389"/>
        <w:sz w:val="16"/>
        <w:szCs w:val="16"/>
      </w:rPr>
      <w:t>June 2021</w:t>
    </w:r>
    <w:r w:rsidRPr="004C18E6">
      <w:ptab w:relativeTo="margin" w:alignment="center" w:leader="none"/>
    </w:r>
    <w:r w:rsidRPr="004C18E6">
      <w:ptab w:relativeTo="margin" w:alignment="right" w:leader="none"/>
    </w:r>
    <w:r>
      <w:rPr>
        <w:noProof/>
      </w:rPr>
      <w:drawing>
        <wp:inline distT="0" distB="0" distL="0" distR="0" wp14:anchorId="007E8BF3" wp14:editId="18156403">
          <wp:extent cx="961902" cy="735330"/>
          <wp:effectExtent l="0" t="0" r="0" b="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3" cy="739237"/>
                  </a:xfrm>
                  <a:prstGeom prst="rect">
                    <a:avLst/>
                  </a:prstGeom>
                  <a:ln>
                    <a:noFill/>
                  </a:ln>
                  <a:extLst>
                    <a:ext uri="{53640926-AAD7-44D8-BBD7-CCE9431645EC}">
                      <a14:shadowObscured xmlns:a14="http://schemas.microsoft.com/office/drawing/2010/main"/>
                    </a:ext>
                  </a:extLst>
                </pic:spPr>
              </pic:pic>
            </a:graphicData>
          </a:graphic>
        </wp:inline>
      </w:drawing>
    </w:r>
  </w:p>
  <w:p w14:paraId="676DFCA6" w14:textId="77777777" w:rsidR="006A2397" w:rsidRPr="0086123F" w:rsidRDefault="006A2397" w:rsidP="00165296">
    <w:pPr>
      <w:pStyle w:val="Header"/>
      <w:pBdr>
        <w:bottom w:val="single" w:sz="6" w:space="1" w:color="auto"/>
      </w:pBdr>
      <w:rPr>
        <w:color w:val="0D2437"/>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D5" w14:textId="76F53735" w:rsidR="006A2397" w:rsidRDefault="006A2397" w:rsidP="00165296">
    <w:pPr>
      <w:pStyle w:val="Header"/>
      <w:pBdr>
        <w:bottom w:val="single" w:sz="6" w:space="1" w:color="auto"/>
      </w:pBdr>
    </w:pPr>
    <w:r>
      <w:rPr>
        <w:rFonts w:ascii="Arial" w:hAnsi="Arial" w:cs="Arial"/>
        <w:color w:val="808389"/>
        <w:sz w:val="16"/>
        <w:szCs w:val="16"/>
      </w:rPr>
      <w:t xml:space="preserve">Version 1.0 - </w:t>
    </w:r>
    <w:r w:rsidRPr="00295B72">
      <w:rPr>
        <w:rFonts w:ascii="Arial" w:hAnsi="Arial" w:cs="Arial"/>
        <w:color w:val="808389"/>
        <w:sz w:val="16"/>
        <w:szCs w:val="16"/>
      </w:rPr>
      <w:t>June 2021</w:t>
    </w:r>
    <w:r w:rsidRPr="004C18E6">
      <w:ptab w:relativeTo="margin" w:alignment="center" w:leader="none"/>
    </w:r>
    <w:r w:rsidRPr="004C18E6">
      <w:ptab w:relativeTo="margin" w:alignment="right" w:leader="none"/>
    </w:r>
    <w:r>
      <w:rPr>
        <w:noProof/>
      </w:rPr>
      <w:drawing>
        <wp:inline distT="0" distB="0" distL="0" distR="0" wp14:anchorId="13DC0E23" wp14:editId="6C74F265">
          <wp:extent cx="961901" cy="735330"/>
          <wp:effectExtent l="0" t="0" r="0" b="0"/>
          <wp:docPr id="34" name="Picture 3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53225"/>
                  <a:stretch/>
                </pic:blipFill>
                <pic:spPr bwMode="auto">
                  <a:xfrm>
                    <a:off x="0" y="0"/>
                    <a:ext cx="967012" cy="739237"/>
                  </a:xfrm>
                  <a:prstGeom prst="rect">
                    <a:avLst/>
                  </a:prstGeom>
                  <a:ln>
                    <a:noFill/>
                  </a:ln>
                  <a:extLst>
                    <a:ext uri="{53640926-AAD7-44D8-BBD7-CCE9431645EC}">
                      <a14:shadowObscured xmlns:a14="http://schemas.microsoft.com/office/drawing/2010/main"/>
                    </a:ext>
                  </a:extLst>
                </pic:spPr>
              </pic:pic>
            </a:graphicData>
          </a:graphic>
        </wp:inline>
      </w:drawing>
    </w:r>
  </w:p>
  <w:p w14:paraId="2BC73229" w14:textId="77777777" w:rsidR="006A2397" w:rsidRPr="0086123F" w:rsidRDefault="006A2397" w:rsidP="00165296">
    <w:pPr>
      <w:pStyle w:val="Header"/>
      <w:pBdr>
        <w:bottom w:val="single" w:sz="6" w:space="1" w:color="auto"/>
      </w:pBdr>
      <w:rPr>
        <w:color w:val="0D2437"/>
        <w:sz w:val="6"/>
        <w:szCs w:val="6"/>
      </w:rPr>
    </w:pPr>
  </w:p>
  <w:p w14:paraId="1476FD31" w14:textId="77777777" w:rsidR="006A2397" w:rsidRPr="008249E1" w:rsidRDefault="006A239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26" w:type="dxa"/>
      <w:tblInd w:w="-1418" w:type="dxa"/>
      <w:tblBorders>
        <w:top w:val="none" w:sz="0" w:space="0" w:color="auto"/>
        <w:left w:val="none" w:sz="0" w:space="0" w:color="auto"/>
        <w:bottom w:val="single" w:sz="4" w:space="0" w:color="0D2437"/>
        <w:right w:val="none" w:sz="0" w:space="0" w:color="auto"/>
        <w:insideH w:val="none" w:sz="0" w:space="0" w:color="auto"/>
        <w:insideV w:val="none" w:sz="0" w:space="0" w:color="auto"/>
      </w:tblBorders>
      <w:tblLook w:val="04A0" w:firstRow="1" w:lastRow="0" w:firstColumn="1" w:lastColumn="0" w:noHBand="0" w:noVBand="1"/>
    </w:tblPr>
    <w:tblGrid>
      <w:gridCol w:w="9215"/>
      <w:gridCol w:w="5811"/>
    </w:tblGrid>
    <w:tr w:rsidR="006A2397" w14:paraId="6EC3345D" w14:textId="77777777" w:rsidTr="00287AEA">
      <w:tc>
        <w:tcPr>
          <w:tcW w:w="9215" w:type="dxa"/>
          <w:vAlign w:val="bottom"/>
        </w:tcPr>
        <w:p w14:paraId="0A2B9B23" w14:textId="09DFD021" w:rsidR="006A2397" w:rsidRPr="00C417DD" w:rsidRDefault="006A2397" w:rsidP="002F751E">
          <w:pPr>
            <w:pStyle w:val="Header"/>
            <w:ind w:left="-105"/>
            <w:rPr>
              <w:sz w:val="16"/>
              <w:szCs w:val="16"/>
            </w:rPr>
          </w:pPr>
          <w:r w:rsidRPr="00C417DD">
            <w:rPr>
              <w:rFonts w:ascii="Arial" w:hAnsi="Arial" w:cs="Arial"/>
              <w:color w:val="808389"/>
              <w:sz w:val="16"/>
              <w:szCs w:val="16"/>
            </w:rPr>
            <w:t xml:space="preserve">Version 1 – updated </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05</w:t>
          </w:r>
          <w:r w:rsidRPr="00C417DD">
            <w:rPr>
              <w:rFonts w:ascii="Arial" w:hAnsi="Arial" w:cs="Arial"/>
              <w:color w:val="808389"/>
              <w:sz w:val="16"/>
              <w:szCs w:val="16"/>
            </w:rPr>
            <w:t>/</w:t>
          </w:r>
          <w:r>
            <w:rPr>
              <w:rFonts w:ascii="Arial" w:hAnsi="Arial" w:cs="Arial"/>
              <w:color w:val="808389"/>
              <w:sz w:val="16"/>
              <w:szCs w:val="16"/>
            </w:rPr>
            <w:t>2021</w:t>
          </w:r>
        </w:p>
      </w:tc>
      <w:tc>
        <w:tcPr>
          <w:tcW w:w="5811" w:type="dxa"/>
          <w:vAlign w:val="bottom"/>
        </w:tcPr>
        <w:p w14:paraId="45EB4BAE" w14:textId="102F1F7F" w:rsidR="006A2397" w:rsidRDefault="006A2397" w:rsidP="00C7121D">
          <w:pPr>
            <w:pStyle w:val="Header"/>
            <w:jc w:val="right"/>
          </w:pPr>
          <w:r>
            <w:rPr>
              <w:noProof/>
            </w:rPr>
            <w:drawing>
              <wp:inline distT="0" distB="0" distL="0" distR="0" wp14:anchorId="7AD80760" wp14:editId="4C9FEF93">
                <wp:extent cx="2056807" cy="735463"/>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7361" cy="739237"/>
                        </a:xfrm>
                        <a:prstGeom prst="rect">
                          <a:avLst/>
                        </a:prstGeom>
                      </pic:spPr>
                    </pic:pic>
                  </a:graphicData>
                </a:graphic>
              </wp:inline>
            </w:drawing>
          </w:r>
        </w:p>
      </w:tc>
    </w:tr>
    <w:tr w:rsidR="006A2397" w:rsidRPr="008249E1" w14:paraId="5337E63B" w14:textId="77777777" w:rsidTr="00287AEA">
      <w:trPr>
        <w:trHeight w:val="102"/>
      </w:trPr>
      <w:tc>
        <w:tcPr>
          <w:tcW w:w="9215" w:type="dxa"/>
          <w:vAlign w:val="bottom"/>
        </w:tcPr>
        <w:p w14:paraId="51BCD20A" w14:textId="77777777" w:rsidR="006A2397" w:rsidRPr="008249E1" w:rsidRDefault="006A2397" w:rsidP="002F751E">
          <w:pPr>
            <w:pStyle w:val="Header"/>
            <w:ind w:left="-105"/>
            <w:rPr>
              <w:rFonts w:ascii="Arial" w:hAnsi="Arial" w:cs="Arial"/>
              <w:color w:val="808389"/>
              <w:sz w:val="10"/>
              <w:szCs w:val="10"/>
            </w:rPr>
          </w:pPr>
        </w:p>
      </w:tc>
      <w:tc>
        <w:tcPr>
          <w:tcW w:w="5811" w:type="dxa"/>
        </w:tcPr>
        <w:p w14:paraId="53D2A605" w14:textId="77777777" w:rsidR="006A2397" w:rsidRPr="008249E1" w:rsidRDefault="006A2397" w:rsidP="002F751E">
          <w:pPr>
            <w:pStyle w:val="Header"/>
            <w:jc w:val="right"/>
            <w:rPr>
              <w:noProof/>
              <w:sz w:val="10"/>
              <w:szCs w:val="10"/>
            </w:rPr>
          </w:pPr>
        </w:p>
      </w:tc>
    </w:tr>
  </w:tbl>
  <w:p w14:paraId="22884C2A" w14:textId="77777777" w:rsidR="006A2397" w:rsidRDefault="006A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147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94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43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AB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40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2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068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E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E6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5010F"/>
    <w:multiLevelType w:val="hybridMultilevel"/>
    <w:tmpl w:val="A320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25778"/>
    <w:multiLevelType w:val="hybridMultilevel"/>
    <w:tmpl w:val="A3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F7856"/>
    <w:multiLevelType w:val="hybridMultilevel"/>
    <w:tmpl w:val="3C223FF4"/>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CE566D"/>
    <w:multiLevelType w:val="hybridMultilevel"/>
    <w:tmpl w:val="D2327CAE"/>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1C119A"/>
    <w:multiLevelType w:val="hybridMultilevel"/>
    <w:tmpl w:val="0426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410358"/>
    <w:multiLevelType w:val="hybridMultilevel"/>
    <w:tmpl w:val="06B0F2C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8663B"/>
    <w:multiLevelType w:val="hybridMultilevel"/>
    <w:tmpl w:val="5D0286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64D91"/>
    <w:multiLevelType w:val="hybridMultilevel"/>
    <w:tmpl w:val="D590AC1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0109"/>
    <w:multiLevelType w:val="hybridMultilevel"/>
    <w:tmpl w:val="C1546032"/>
    <w:lvl w:ilvl="0" w:tplc="77382046">
      <w:start w:val="1"/>
      <w:numFmt w:val="bullet"/>
      <w:lvlText w:val=""/>
      <w:lvlJc w:val="left"/>
      <w:pPr>
        <w:ind w:left="1080" w:hanging="360"/>
      </w:pPr>
      <w:rPr>
        <w:rFonts w:ascii="Symbol" w:hAnsi="Symbol" w:hint="default"/>
        <w:color w:val="8D3C6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2104089"/>
    <w:multiLevelType w:val="hybridMultilevel"/>
    <w:tmpl w:val="153E64C2"/>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63BA7"/>
    <w:multiLevelType w:val="hybridMultilevel"/>
    <w:tmpl w:val="7862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274E6"/>
    <w:multiLevelType w:val="hybridMultilevel"/>
    <w:tmpl w:val="E7A438F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41E1F"/>
    <w:multiLevelType w:val="hybridMultilevel"/>
    <w:tmpl w:val="6A12A39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505DC"/>
    <w:multiLevelType w:val="hybridMultilevel"/>
    <w:tmpl w:val="D01EB4C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A3319D"/>
    <w:multiLevelType w:val="hybridMultilevel"/>
    <w:tmpl w:val="2E085BCA"/>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35A1C"/>
    <w:multiLevelType w:val="hybridMultilevel"/>
    <w:tmpl w:val="A6CA07CE"/>
    <w:lvl w:ilvl="0" w:tplc="77382046">
      <w:start w:val="1"/>
      <w:numFmt w:val="bullet"/>
      <w:lvlText w:val=""/>
      <w:lvlJc w:val="left"/>
      <w:pPr>
        <w:ind w:left="1077" w:hanging="360"/>
      </w:pPr>
      <w:rPr>
        <w:rFonts w:ascii="Symbol" w:hAnsi="Symbol" w:hint="default"/>
        <w:color w:val="8D3C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736D9A"/>
    <w:multiLevelType w:val="hybridMultilevel"/>
    <w:tmpl w:val="0032D380"/>
    <w:lvl w:ilvl="0" w:tplc="77382046">
      <w:start w:val="1"/>
      <w:numFmt w:val="bullet"/>
      <w:lvlText w:val=""/>
      <w:lvlJc w:val="left"/>
      <w:pPr>
        <w:ind w:left="1080" w:hanging="72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0B09DD"/>
    <w:multiLevelType w:val="hybridMultilevel"/>
    <w:tmpl w:val="32F42F16"/>
    <w:lvl w:ilvl="0" w:tplc="77382046">
      <w:start w:val="1"/>
      <w:numFmt w:val="bullet"/>
      <w:lvlText w:val=""/>
      <w:lvlJc w:val="left"/>
      <w:pPr>
        <w:ind w:left="1440" w:hanging="360"/>
      </w:pPr>
      <w:rPr>
        <w:rFonts w:ascii="Symbol" w:hAnsi="Symbol" w:hint="default"/>
        <w:color w:val="8D3C6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5C85A2F"/>
    <w:multiLevelType w:val="hybridMultilevel"/>
    <w:tmpl w:val="060E8B2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527F9"/>
    <w:multiLevelType w:val="hybridMultilevel"/>
    <w:tmpl w:val="87AE972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F547D"/>
    <w:multiLevelType w:val="hybridMultilevel"/>
    <w:tmpl w:val="204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87CFF"/>
    <w:multiLevelType w:val="hybridMultilevel"/>
    <w:tmpl w:val="4D869E0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A166B"/>
    <w:multiLevelType w:val="hybridMultilevel"/>
    <w:tmpl w:val="7724233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2089E"/>
    <w:multiLevelType w:val="hybridMultilevel"/>
    <w:tmpl w:val="82CC3766"/>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028B0"/>
    <w:multiLevelType w:val="multilevel"/>
    <w:tmpl w:val="1E064090"/>
    <w:lvl w:ilvl="0">
      <w:start w:val="1"/>
      <w:numFmt w:val="bullet"/>
      <w:pStyle w:val="BulletPointsAPCO"/>
      <w:lvlText w:val=""/>
      <w:lvlJc w:val="left"/>
      <w:pPr>
        <w:ind w:left="720" w:hanging="360"/>
      </w:pPr>
      <w:rPr>
        <w:rFonts w:ascii="Symbol" w:hAnsi="Symbol" w:hint="default"/>
        <w:color w:val="779B4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F1DC8"/>
    <w:multiLevelType w:val="hybridMultilevel"/>
    <w:tmpl w:val="1632D28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684E82"/>
    <w:multiLevelType w:val="hybridMultilevel"/>
    <w:tmpl w:val="5720DD4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9B555A"/>
    <w:multiLevelType w:val="hybridMultilevel"/>
    <w:tmpl w:val="6A2CB820"/>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E15170"/>
    <w:multiLevelType w:val="hybridMultilevel"/>
    <w:tmpl w:val="FA6472C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ED13A3"/>
    <w:multiLevelType w:val="hybridMultilevel"/>
    <w:tmpl w:val="29FCFF14"/>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F500A"/>
    <w:multiLevelType w:val="hybridMultilevel"/>
    <w:tmpl w:val="8848DBA2"/>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0EE3"/>
    <w:multiLevelType w:val="hybridMultilevel"/>
    <w:tmpl w:val="38CC4A72"/>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FB626A"/>
    <w:multiLevelType w:val="hybridMultilevel"/>
    <w:tmpl w:val="B0DEA1B8"/>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3D3FCE"/>
    <w:multiLevelType w:val="hybridMultilevel"/>
    <w:tmpl w:val="8668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BB3BA2"/>
    <w:multiLevelType w:val="hybridMultilevel"/>
    <w:tmpl w:val="0E145450"/>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F633A"/>
    <w:multiLevelType w:val="hybridMultilevel"/>
    <w:tmpl w:val="D8AE28EC"/>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0F092C"/>
    <w:multiLevelType w:val="hybridMultilevel"/>
    <w:tmpl w:val="C3F2A91C"/>
    <w:lvl w:ilvl="0" w:tplc="85A22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BD5C0B"/>
    <w:multiLevelType w:val="hybridMultilevel"/>
    <w:tmpl w:val="3BA6AF64"/>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605816"/>
    <w:multiLevelType w:val="hybridMultilevel"/>
    <w:tmpl w:val="2B6E6DB8"/>
    <w:lvl w:ilvl="0" w:tplc="77382046">
      <w:start w:val="1"/>
      <w:numFmt w:val="bullet"/>
      <w:lvlText w:val=""/>
      <w:lvlJc w:val="left"/>
      <w:pPr>
        <w:ind w:left="720" w:hanging="360"/>
      </w:pPr>
      <w:rPr>
        <w:rFonts w:ascii="Symbol" w:hAnsi="Symbol" w:hint="default"/>
        <w:color w:val="8D3C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F0BF3"/>
    <w:multiLevelType w:val="hybridMultilevel"/>
    <w:tmpl w:val="40E8778E"/>
    <w:lvl w:ilvl="0" w:tplc="77382046">
      <w:start w:val="1"/>
      <w:numFmt w:val="bullet"/>
      <w:lvlText w:val=""/>
      <w:lvlJc w:val="left"/>
      <w:pPr>
        <w:ind w:left="720" w:hanging="360"/>
      </w:pPr>
      <w:rPr>
        <w:rFonts w:ascii="Symbol" w:hAnsi="Symbol" w:hint="default"/>
        <w:color w:val="8D3C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7"/>
  </w:num>
  <w:num w:numId="4">
    <w:abstractNumId w:val="23"/>
  </w:num>
  <w:num w:numId="5">
    <w:abstractNumId w:val="26"/>
  </w:num>
  <w:num w:numId="6">
    <w:abstractNumId w:val="29"/>
  </w:num>
  <w:num w:numId="7">
    <w:abstractNumId w:val="13"/>
  </w:num>
  <w:num w:numId="8">
    <w:abstractNumId w:val="11"/>
  </w:num>
  <w:num w:numId="9">
    <w:abstractNumId w:val="42"/>
  </w:num>
  <w:num w:numId="10">
    <w:abstractNumId w:val="48"/>
  </w:num>
  <w:num w:numId="11">
    <w:abstractNumId w:val="40"/>
  </w:num>
  <w:num w:numId="12">
    <w:abstractNumId w:val="33"/>
  </w:num>
  <w:num w:numId="13">
    <w:abstractNumId w:val="35"/>
  </w:num>
  <w:num w:numId="14">
    <w:abstractNumId w:val="38"/>
  </w:num>
  <w:num w:numId="15">
    <w:abstractNumId w:val="41"/>
  </w:num>
  <w:num w:numId="16">
    <w:abstractNumId w:val="21"/>
  </w:num>
  <w:num w:numId="17">
    <w:abstractNumId w:val="12"/>
  </w:num>
  <w:num w:numId="18">
    <w:abstractNumId w:val="18"/>
  </w:num>
  <w:num w:numId="19">
    <w:abstractNumId w:val="46"/>
  </w:num>
  <w:num w:numId="20">
    <w:abstractNumId w:val="17"/>
  </w:num>
  <w:num w:numId="21">
    <w:abstractNumId w:val="37"/>
  </w:num>
  <w:num w:numId="22">
    <w:abstractNumId w:val="32"/>
  </w:num>
  <w:num w:numId="23">
    <w:abstractNumId w:val="39"/>
  </w:num>
  <w:num w:numId="24">
    <w:abstractNumId w:val="19"/>
  </w:num>
  <w:num w:numId="25">
    <w:abstractNumId w:val="45"/>
  </w:num>
  <w:num w:numId="26">
    <w:abstractNumId w:val="30"/>
  </w:num>
  <w:num w:numId="27">
    <w:abstractNumId w:val="44"/>
  </w:num>
  <w:num w:numId="28">
    <w:abstractNumId w:val="16"/>
  </w:num>
  <w:num w:numId="29">
    <w:abstractNumId w:val="15"/>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3"/>
  </w:num>
  <w:num w:numId="43">
    <w:abstractNumId w:val="10"/>
  </w:num>
  <w:num w:numId="44">
    <w:abstractNumId w:val="14"/>
  </w:num>
  <w:num w:numId="45">
    <w:abstractNumId w:val="25"/>
  </w:num>
  <w:num w:numId="46">
    <w:abstractNumId w:val="31"/>
  </w:num>
  <w:num w:numId="47">
    <w:abstractNumId w:val="27"/>
  </w:num>
  <w:num w:numId="48">
    <w:abstractNumId w:val="49"/>
  </w:num>
  <w:num w:numId="49">
    <w:abstractNumId w:val="24"/>
  </w:num>
  <w:num w:numId="50">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8"/>
    <w:rsid w:val="00006AA2"/>
    <w:rsid w:val="00014487"/>
    <w:rsid w:val="00015E73"/>
    <w:rsid w:val="0002314F"/>
    <w:rsid w:val="00026328"/>
    <w:rsid w:val="00027C9F"/>
    <w:rsid w:val="00032688"/>
    <w:rsid w:val="00035298"/>
    <w:rsid w:val="00042B9A"/>
    <w:rsid w:val="000456CE"/>
    <w:rsid w:val="00045BF5"/>
    <w:rsid w:val="00053DFD"/>
    <w:rsid w:val="00076036"/>
    <w:rsid w:val="000814A6"/>
    <w:rsid w:val="000A5CA8"/>
    <w:rsid w:val="000A77AC"/>
    <w:rsid w:val="000B0210"/>
    <w:rsid w:val="000B45C9"/>
    <w:rsid w:val="000C0904"/>
    <w:rsid w:val="000D225D"/>
    <w:rsid w:val="000D7299"/>
    <w:rsid w:val="000E7C13"/>
    <w:rsid w:val="000F1B0D"/>
    <w:rsid w:val="001002B0"/>
    <w:rsid w:val="001025F4"/>
    <w:rsid w:val="00106F49"/>
    <w:rsid w:val="00110794"/>
    <w:rsid w:val="001109E9"/>
    <w:rsid w:val="001152AE"/>
    <w:rsid w:val="00115D63"/>
    <w:rsid w:val="00121D25"/>
    <w:rsid w:val="0012489A"/>
    <w:rsid w:val="001374F9"/>
    <w:rsid w:val="00165296"/>
    <w:rsid w:val="001826A2"/>
    <w:rsid w:val="00190F6B"/>
    <w:rsid w:val="00193CB6"/>
    <w:rsid w:val="00196876"/>
    <w:rsid w:val="001A07D9"/>
    <w:rsid w:val="001A0A4F"/>
    <w:rsid w:val="001A1E8A"/>
    <w:rsid w:val="001A3D1B"/>
    <w:rsid w:val="001A5D12"/>
    <w:rsid w:val="001B33B8"/>
    <w:rsid w:val="001C3E8B"/>
    <w:rsid w:val="001C602C"/>
    <w:rsid w:val="001D1319"/>
    <w:rsid w:val="001D7CE7"/>
    <w:rsid w:val="001E5569"/>
    <w:rsid w:val="002009A4"/>
    <w:rsid w:val="00201DEC"/>
    <w:rsid w:val="00203959"/>
    <w:rsid w:val="00231741"/>
    <w:rsid w:val="0023222C"/>
    <w:rsid w:val="0023392F"/>
    <w:rsid w:val="0023661A"/>
    <w:rsid w:val="00243E46"/>
    <w:rsid w:val="0024480C"/>
    <w:rsid w:val="002530D0"/>
    <w:rsid w:val="00266568"/>
    <w:rsid w:val="00267B83"/>
    <w:rsid w:val="002711CB"/>
    <w:rsid w:val="00282D71"/>
    <w:rsid w:val="00283C6F"/>
    <w:rsid w:val="00287AEA"/>
    <w:rsid w:val="002918BC"/>
    <w:rsid w:val="00295B72"/>
    <w:rsid w:val="002A23D6"/>
    <w:rsid w:val="002A6F78"/>
    <w:rsid w:val="002B2E16"/>
    <w:rsid w:val="002B6A21"/>
    <w:rsid w:val="002D6709"/>
    <w:rsid w:val="002D766D"/>
    <w:rsid w:val="002E5B47"/>
    <w:rsid w:val="002E65D6"/>
    <w:rsid w:val="002F751E"/>
    <w:rsid w:val="00311D4B"/>
    <w:rsid w:val="00321377"/>
    <w:rsid w:val="00321DC3"/>
    <w:rsid w:val="00334465"/>
    <w:rsid w:val="00334A15"/>
    <w:rsid w:val="003363FF"/>
    <w:rsid w:val="003500F3"/>
    <w:rsid w:val="0035407B"/>
    <w:rsid w:val="0036441F"/>
    <w:rsid w:val="0037264A"/>
    <w:rsid w:val="00377411"/>
    <w:rsid w:val="00387648"/>
    <w:rsid w:val="00387772"/>
    <w:rsid w:val="003A4D5D"/>
    <w:rsid w:val="003B20E9"/>
    <w:rsid w:val="003D6EC3"/>
    <w:rsid w:val="003E79E9"/>
    <w:rsid w:val="004619A8"/>
    <w:rsid w:val="0046378E"/>
    <w:rsid w:val="00483F1E"/>
    <w:rsid w:val="00491614"/>
    <w:rsid w:val="00494D46"/>
    <w:rsid w:val="004A53C8"/>
    <w:rsid w:val="004A708E"/>
    <w:rsid w:val="004B2300"/>
    <w:rsid w:val="004B42D5"/>
    <w:rsid w:val="004D6A94"/>
    <w:rsid w:val="004D7137"/>
    <w:rsid w:val="004D757C"/>
    <w:rsid w:val="004F5EE3"/>
    <w:rsid w:val="004F63E4"/>
    <w:rsid w:val="00514E86"/>
    <w:rsid w:val="005226B6"/>
    <w:rsid w:val="00524CDA"/>
    <w:rsid w:val="00531DFF"/>
    <w:rsid w:val="0053484C"/>
    <w:rsid w:val="00535DC7"/>
    <w:rsid w:val="0055501F"/>
    <w:rsid w:val="00564F56"/>
    <w:rsid w:val="00570337"/>
    <w:rsid w:val="005754B9"/>
    <w:rsid w:val="00586BE2"/>
    <w:rsid w:val="00590131"/>
    <w:rsid w:val="005918AE"/>
    <w:rsid w:val="005926AF"/>
    <w:rsid w:val="005A60BB"/>
    <w:rsid w:val="005A76EC"/>
    <w:rsid w:val="005E170D"/>
    <w:rsid w:val="005E5EB3"/>
    <w:rsid w:val="005F4CDA"/>
    <w:rsid w:val="00604675"/>
    <w:rsid w:val="00616F86"/>
    <w:rsid w:val="00640FE7"/>
    <w:rsid w:val="00665131"/>
    <w:rsid w:val="00677958"/>
    <w:rsid w:val="0068035B"/>
    <w:rsid w:val="006803B2"/>
    <w:rsid w:val="006912C6"/>
    <w:rsid w:val="00694844"/>
    <w:rsid w:val="006A2397"/>
    <w:rsid w:val="006A46C5"/>
    <w:rsid w:val="006B49B2"/>
    <w:rsid w:val="006C3BD6"/>
    <w:rsid w:val="006D4CAF"/>
    <w:rsid w:val="006E3E19"/>
    <w:rsid w:val="00704F68"/>
    <w:rsid w:val="007066B0"/>
    <w:rsid w:val="00734D2A"/>
    <w:rsid w:val="007350AA"/>
    <w:rsid w:val="00745E22"/>
    <w:rsid w:val="007471A1"/>
    <w:rsid w:val="00751EFF"/>
    <w:rsid w:val="00753F4A"/>
    <w:rsid w:val="00756C7B"/>
    <w:rsid w:val="00781172"/>
    <w:rsid w:val="00795998"/>
    <w:rsid w:val="007A2360"/>
    <w:rsid w:val="007A24E6"/>
    <w:rsid w:val="007A5DCD"/>
    <w:rsid w:val="007B0137"/>
    <w:rsid w:val="007B113B"/>
    <w:rsid w:val="007B79EB"/>
    <w:rsid w:val="007C3804"/>
    <w:rsid w:val="007D00F0"/>
    <w:rsid w:val="007D10D2"/>
    <w:rsid w:val="007D1DE3"/>
    <w:rsid w:val="007D6433"/>
    <w:rsid w:val="007E020F"/>
    <w:rsid w:val="007E78AB"/>
    <w:rsid w:val="00810646"/>
    <w:rsid w:val="008120F6"/>
    <w:rsid w:val="00812F16"/>
    <w:rsid w:val="0081416D"/>
    <w:rsid w:val="00816D07"/>
    <w:rsid w:val="00822C8C"/>
    <w:rsid w:val="008249E1"/>
    <w:rsid w:val="00831DBF"/>
    <w:rsid w:val="0083667D"/>
    <w:rsid w:val="00843AFE"/>
    <w:rsid w:val="00845781"/>
    <w:rsid w:val="008474FE"/>
    <w:rsid w:val="00850CC5"/>
    <w:rsid w:val="008529FE"/>
    <w:rsid w:val="00871751"/>
    <w:rsid w:val="00875E2B"/>
    <w:rsid w:val="00877557"/>
    <w:rsid w:val="00881A63"/>
    <w:rsid w:val="00887B9C"/>
    <w:rsid w:val="00891C8D"/>
    <w:rsid w:val="008950E1"/>
    <w:rsid w:val="008B132A"/>
    <w:rsid w:val="008B15AA"/>
    <w:rsid w:val="008C26A8"/>
    <w:rsid w:val="008D437D"/>
    <w:rsid w:val="008E1EEB"/>
    <w:rsid w:val="009116F8"/>
    <w:rsid w:val="00922698"/>
    <w:rsid w:val="009277AA"/>
    <w:rsid w:val="00934995"/>
    <w:rsid w:val="009405ED"/>
    <w:rsid w:val="0094156B"/>
    <w:rsid w:val="00960B15"/>
    <w:rsid w:val="00965088"/>
    <w:rsid w:val="00977E90"/>
    <w:rsid w:val="009835A9"/>
    <w:rsid w:val="009868D4"/>
    <w:rsid w:val="00991C9E"/>
    <w:rsid w:val="009935D8"/>
    <w:rsid w:val="00993A1A"/>
    <w:rsid w:val="009B3A87"/>
    <w:rsid w:val="009B5F20"/>
    <w:rsid w:val="009C1B76"/>
    <w:rsid w:val="009F0D2A"/>
    <w:rsid w:val="009F7496"/>
    <w:rsid w:val="009F7E18"/>
    <w:rsid w:val="00A03D8A"/>
    <w:rsid w:val="00A04DBE"/>
    <w:rsid w:val="00A06465"/>
    <w:rsid w:val="00A15B2D"/>
    <w:rsid w:val="00A21ABD"/>
    <w:rsid w:val="00A24FFF"/>
    <w:rsid w:val="00A27D15"/>
    <w:rsid w:val="00A3413A"/>
    <w:rsid w:val="00A45D6F"/>
    <w:rsid w:val="00A477B5"/>
    <w:rsid w:val="00A535BB"/>
    <w:rsid w:val="00A56381"/>
    <w:rsid w:val="00A6396F"/>
    <w:rsid w:val="00A6736D"/>
    <w:rsid w:val="00A7097B"/>
    <w:rsid w:val="00A82D4E"/>
    <w:rsid w:val="00A8748C"/>
    <w:rsid w:val="00A87F1E"/>
    <w:rsid w:val="00A95B14"/>
    <w:rsid w:val="00AA527D"/>
    <w:rsid w:val="00AA61C4"/>
    <w:rsid w:val="00AE4398"/>
    <w:rsid w:val="00AF562A"/>
    <w:rsid w:val="00B00F46"/>
    <w:rsid w:val="00B17240"/>
    <w:rsid w:val="00B175F3"/>
    <w:rsid w:val="00B24F16"/>
    <w:rsid w:val="00B27E74"/>
    <w:rsid w:val="00B40493"/>
    <w:rsid w:val="00B4419A"/>
    <w:rsid w:val="00B469F4"/>
    <w:rsid w:val="00B71821"/>
    <w:rsid w:val="00B7694B"/>
    <w:rsid w:val="00B8042F"/>
    <w:rsid w:val="00B87667"/>
    <w:rsid w:val="00B96283"/>
    <w:rsid w:val="00BA3074"/>
    <w:rsid w:val="00BB00B3"/>
    <w:rsid w:val="00BC0B82"/>
    <w:rsid w:val="00BC66FA"/>
    <w:rsid w:val="00BD58D9"/>
    <w:rsid w:val="00BD725D"/>
    <w:rsid w:val="00BF1EF1"/>
    <w:rsid w:val="00BF331A"/>
    <w:rsid w:val="00C01084"/>
    <w:rsid w:val="00C10F7E"/>
    <w:rsid w:val="00C14B9F"/>
    <w:rsid w:val="00C1662E"/>
    <w:rsid w:val="00C21F99"/>
    <w:rsid w:val="00C22440"/>
    <w:rsid w:val="00C25BC0"/>
    <w:rsid w:val="00C27CDA"/>
    <w:rsid w:val="00C30D48"/>
    <w:rsid w:val="00C32744"/>
    <w:rsid w:val="00C417DD"/>
    <w:rsid w:val="00C56AEC"/>
    <w:rsid w:val="00C66EC9"/>
    <w:rsid w:val="00C67F5F"/>
    <w:rsid w:val="00C7121D"/>
    <w:rsid w:val="00C82A51"/>
    <w:rsid w:val="00C8381E"/>
    <w:rsid w:val="00C95EDC"/>
    <w:rsid w:val="00C97DA1"/>
    <w:rsid w:val="00CA281B"/>
    <w:rsid w:val="00CA3871"/>
    <w:rsid w:val="00CA543C"/>
    <w:rsid w:val="00CB4403"/>
    <w:rsid w:val="00CB46C9"/>
    <w:rsid w:val="00CC6CAD"/>
    <w:rsid w:val="00CD00F4"/>
    <w:rsid w:val="00CD631A"/>
    <w:rsid w:val="00CD7ACB"/>
    <w:rsid w:val="00CE6E6E"/>
    <w:rsid w:val="00CF2F43"/>
    <w:rsid w:val="00D003D8"/>
    <w:rsid w:val="00D072CF"/>
    <w:rsid w:val="00D1086F"/>
    <w:rsid w:val="00D172A5"/>
    <w:rsid w:val="00D31518"/>
    <w:rsid w:val="00D47920"/>
    <w:rsid w:val="00D51976"/>
    <w:rsid w:val="00D67A6C"/>
    <w:rsid w:val="00D73E5F"/>
    <w:rsid w:val="00D82123"/>
    <w:rsid w:val="00D93AEA"/>
    <w:rsid w:val="00DA1052"/>
    <w:rsid w:val="00DA3E4E"/>
    <w:rsid w:val="00DA49CB"/>
    <w:rsid w:val="00DB0C6C"/>
    <w:rsid w:val="00DB5303"/>
    <w:rsid w:val="00DC0417"/>
    <w:rsid w:val="00DC4973"/>
    <w:rsid w:val="00DD7718"/>
    <w:rsid w:val="00DF6398"/>
    <w:rsid w:val="00E037A7"/>
    <w:rsid w:val="00E065E0"/>
    <w:rsid w:val="00E1151F"/>
    <w:rsid w:val="00E17ACE"/>
    <w:rsid w:val="00E43065"/>
    <w:rsid w:val="00E452B9"/>
    <w:rsid w:val="00E47EB1"/>
    <w:rsid w:val="00E5354D"/>
    <w:rsid w:val="00E54A75"/>
    <w:rsid w:val="00E63832"/>
    <w:rsid w:val="00E64495"/>
    <w:rsid w:val="00E94860"/>
    <w:rsid w:val="00EA22E3"/>
    <w:rsid w:val="00EA2321"/>
    <w:rsid w:val="00EB5DA2"/>
    <w:rsid w:val="00EB6CC6"/>
    <w:rsid w:val="00EE01C6"/>
    <w:rsid w:val="00EE42B3"/>
    <w:rsid w:val="00EE52D8"/>
    <w:rsid w:val="00F03D35"/>
    <w:rsid w:val="00F04C95"/>
    <w:rsid w:val="00F10F11"/>
    <w:rsid w:val="00F30649"/>
    <w:rsid w:val="00F66DF5"/>
    <w:rsid w:val="00F70FCA"/>
    <w:rsid w:val="00F836F2"/>
    <w:rsid w:val="00F84E86"/>
    <w:rsid w:val="00F97198"/>
    <w:rsid w:val="00F97DCA"/>
    <w:rsid w:val="00FD766F"/>
    <w:rsid w:val="00FE540E"/>
    <w:rsid w:val="00FF1BA8"/>
    <w:rsid w:val="00FF3D93"/>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E486FA"/>
  <w15:chartTrackingRefBased/>
  <w15:docId w15:val="{AD60B8E2-A3FE-B74D-B90C-B8DBA1C1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A4F"/>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006AA2"/>
    <w:pPr>
      <w:keepNext/>
      <w:keepLines/>
      <w:spacing w:before="40" w:line="259" w:lineRule="auto"/>
      <w:outlineLvl w:val="1"/>
    </w:pPr>
    <w:rPr>
      <w:rFonts w:asciiTheme="majorHAnsi" w:eastAsiaTheme="majorEastAsia" w:hAnsiTheme="majorHAnsi" w:cstheme="majorBidi"/>
      <w:color w:val="802E90"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ANZPAC">
    <w:name w:val="Document Title_ANZPAC"/>
    <w:basedOn w:val="NoSpacing"/>
    <w:qFormat/>
    <w:rsid w:val="00E47EB1"/>
    <w:pPr>
      <w:spacing w:before="240" w:after="240"/>
    </w:pPr>
    <w:rPr>
      <w:rFonts w:ascii="Josefin Sans" w:hAnsi="Josefin Sans" w:cs="Arial"/>
      <w:b/>
      <w:caps/>
      <w:color w:val="0D2437"/>
      <w:sz w:val="120"/>
      <w:szCs w:val="96"/>
    </w:rPr>
  </w:style>
  <w:style w:type="paragraph" w:customStyle="1" w:styleId="SubHeadingCovPgAPCO">
    <w:name w:val="SubHeadingCovPg_APCO"/>
    <w:basedOn w:val="NoSpacing"/>
    <w:qFormat/>
    <w:rsid w:val="00C56AEC"/>
    <w:pPr>
      <w:spacing w:after="240" w:line="216" w:lineRule="auto"/>
    </w:pPr>
    <w:rPr>
      <w:rFonts w:ascii="Arial" w:hAnsi="Arial" w:cs="Arial"/>
      <w:color w:val="FFFFFF" w:themeColor="background1"/>
      <w:spacing w:val="10"/>
      <w:sz w:val="36"/>
      <w:szCs w:val="36"/>
    </w:rPr>
  </w:style>
  <w:style w:type="paragraph" w:customStyle="1" w:styleId="DateCovPgAPCO">
    <w:name w:val="DateCovPg_APCO"/>
    <w:basedOn w:val="Normal"/>
    <w:qFormat/>
    <w:rsid w:val="00C56AEC"/>
    <w:rPr>
      <w:rFonts w:ascii="Arial" w:hAnsi="Arial" w:cs="Arial"/>
      <w:color w:val="FFFFFF" w:themeColor="background1"/>
      <w:sz w:val="26"/>
      <w:szCs w:val="26"/>
    </w:rPr>
  </w:style>
  <w:style w:type="paragraph" w:styleId="Header">
    <w:name w:val="header"/>
    <w:basedOn w:val="Normal"/>
    <w:link w:val="HeaderChar"/>
    <w:uiPriority w:val="99"/>
    <w:unhideWhenUsed/>
    <w:rsid w:val="007D00F0"/>
    <w:pPr>
      <w:tabs>
        <w:tab w:val="center" w:pos="4680"/>
        <w:tab w:val="right" w:pos="9360"/>
      </w:tabs>
    </w:pPr>
  </w:style>
  <w:style w:type="character" w:customStyle="1" w:styleId="HeaderChar">
    <w:name w:val="Header Char"/>
    <w:basedOn w:val="DefaultParagraphFont"/>
    <w:link w:val="Header"/>
    <w:uiPriority w:val="99"/>
    <w:rsid w:val="007D00F0"/>
  </w:style>
  <w:style w:type="paragraph" w:styleId="Footer">
    <w:name w:val="footer"/>
    <w:basedOn w:val="Normal"/>
    <w:link w:val="FooterChar"/>
    <w:uiPriority w:val="99"/>
    <w:unhideWhenUsed/>
    <w:rsid w:val="007D00F0"/>
    <w:pPr>
      <w:tabs>
        <w:tab w:val="center" w:pos="4680"/>
        <w:tab w:val="right" w:pos="9360"/>
      </w:tabs>
    </w:pPr>
  </w:style>
  <w:style w:type="character" w:customStyle="1" w:styleId="FooterChar">
    <w:name w:val="Footer Char"/>
    <w:basedOn w:val="DefaultParagraphFont"/>
    <w:link w:val="Footer"/>
    <w:uiPriority w:val="99"/>
    <w:rsid w:val="007D00F0"/>
  </w:style>
  <w:style w:type="character" w:styleId="Hyperlink">
    <w:name w:val="Hyperlink"/>
    <w:basedOn w:val="DefaultParagraphFont"/>
    <w:uiPriority w:val="99"/>
    <w:unhideWhenUsed/>
    <w:rsid w:val="00295B72"/>
    <w:rPr>
      <w:color w:val="8D3C66"/>
      <w:u w:val="single"/>
    </w:rPr>
  </w:style>
  <w:style w:type="character" w:styleId="UnresolvedMention">
    <w:name w:val="Unresolved Mention"/>
    <w:basedOn w:val="DefaultParagraphFont"/>
    <w:uiPriority w:val="99"/>
    <w:semiHidden/>
    <w:unhideWhenUsed/>
    <w:rsid w:val="007D00F0"/>
    <w:rPr>
      <w:color w:val="605E5C"/>
      <w:shd w:val="clear" w:color="auto" w:fill="E1DFDD"/>
    </w:rPr>
  </w:style>
  <w:style w:type="table" w:styleId="TableGrid">
    <w:name w:val="Table Grid"/>
    <w:basedOn w:val="TableNormal"/>
    <w:uiPriority w:val="39"/>
    <w:rsid w:val="007D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A24E6"/>
    <w:rPr>
      <w:rFonts w:eastAsiaTheme="minorEastAsia"/>
      <w:sz w:val="22"/>
      <w:szCs w:val="22"/>
      <w:lang w:val="en-US" w:eastAsia="zh-CN"/>
    </w:rPr>
  </w:style>
  <w:style w:type="character" w:customStyle="1" w:styleId="NoSpacingChar">
    <w:name w:val="No Spacing Char"/>
    <w:basedOn w:val="DefaultParagraphFont"/>
    <w:link w:val="NoSpacing"/>
    <w:uiPriority w:val="1"/>
    <w:rsid w:val="007A24E6"/>
    <w:rPr>
      <w:rFonts w:eastAsiaTheme="minorEastAsia"/>
      <w:sz w:val="22"/>
      <w:szCs w:val="22"/>
      <w:lang w:val="en-US" w:eastAsia="zh-CN"/>
    </w:rPr>
  </w:style>
  <w:style w:type="character" w:customStyle="1" w:styleId="Heading1Char">
    <w:name w:val="Heading 1 Char"/>
    <w:basedOn w:val="DefaultParagraphFont"/>
    <w:link w:val="Heading1"/>
    <w:uiPriority w:val="9"/>
    <w:rsid w:val="001A0A4F"/>
    <w:rPr>
      <w:rFonts w:asciiTheme="majorHAnsi" w:eastAsiaTheme="majorEastAsia" w:hAnsiTheme="majorHAnsi" w:cstheme="majorBidi"/>
      <w:color w:val="802E90" w:themeColor="accent1" w:themeShade="BF"/>
      <w:sz w:val="32"/>
      <w:szCs w:val="32"/>
    </w:rPr>
  </w:style>
  <w:style w:type="character" w:styleId="FollowedHyperlink">
    <w:name w:val="FollowedHyperlink"/>
    <w:basedOn w:val="DefaultParagraphFont"/>
    <w:uiPriority w:val="99"/>
    <w:semiHidden/>
    <w:unhideWhenUsed/>
    <w:rsid w:val="001A0A4F"/>
    <w:rPr>
      <w:color w:val="CCAEE8" w:themeColor="followedHyperlink"/>
      <w:u w:val="single"/>
    </w:rPr>
  </w:style>
  <w:style w:type="paragraph" w:styleId="NormalWeb">
    <w:name w:val="Normal (Web)"/>
    <w:basedOn w:val="Normal"/>
    <w:uiPriority w:val="99"/>
    <w:unhideWhenUsed/>
    <w:rsid w:val="004619A8"/>
    <w:pPr>
      <w:spacing w:before="100" w:beforeAutospacing="1" w:after="100" w:afterAutospacing="1"/>
    </w:pPr>
    <w:rPr>
      <w:rFonts w:ascii="Times New Roman" w:eastAsia="Times New Roman" w:hAnsi="Times New Roman" w:cs="Times New Roman"/>
    </w:rPr>
  </w:style>
  <w:style w:type="paragraph" w:customStyle="1" w:styleId="BackPageHeadingANZPAC">
    <w:name w:val="BackPageHeading_ANZPAC"/>
    <w:basedOn w:val="Normal"/>
    <w:link w:val="BackPageHeadingANZPACChar"/>
    <w:qFormat/>
    <w:rsid w:val="004D7137"/>
    <w:pPr>
      <w:spacing w:line="700" w:lineRule="exact"/>
      <w:outlineLvl w:val="0"/>
    </w:pPr>
    <w:rPr>
      <w:rFonts w:ascii="Josefin Sans" w:eastAsia="Arial" w:hAnsi="Josefin Sans" w:cs="Arial"/>
      <w:b/>
      <w:color w:val="0D2437"/>
      <w:sz w:val="60"/>
      <w:szCs w:val="40"/>
      <w:lang w:val="en-GB" w:eastAsia="ko-KR"/>
    </w:rPr>
  </w:style>
  <w:style w:type="character" w:customStyle="1" w:styleId="BackPageHeadingANZPACChar">
    <w:name w:val="BackPageHeading_ANZPAC Char"/>
    <w:basedOn w:val="DefaultParagraphFont"/>
    <w:link w:val="BackPageHeadingANZPAC"/>
    <w:rsid w:val="004D7137"/>
    <w:rPr>
      <w:rFonts w:ascii="Josefin Sans" w:eastAsia="Arial" w:hAnsi="Josefin Sans" w:cs="Arial"/>
      <w:b/>
      <w:color w:val="0D2437"/>
      <w:sz w:val="60"/>
      <w:szCs w:val="40"/>
      <w:lang w:val="en-GB" w:eastAsia="ko-KR"/>
    </w:rPr>
  </w:style>
  <w:style w:type="paragraph" w:customStyle="1" w:styleId="BodyCopyAPCO">
    <w:name w:val="BodyCopy_APCO"/>
    <w:basedOn w:val="Normal"/>
    <w:qFormat/>
    <w:rsid w:val="0081416D"/>
    <w:pPr>
      <w:spacing w:line="276" w:lineRule="auto"/>
    </w:pPr>
    <w:rPr>
      <w:rFonts w:ascii="Arial" w:eastAsia="Calibri" w:hAnsi="Arial" w:cs="Arial"/>
      <w:color w:val="000000" w:themeColor="text1"/>
      <w:sz w:val="20"/>
      <w:szCs w:val="20"/>
      <w:lang w:val="en-GB" w:eastAsia="ko-KR"/>
    </w:rPr>
  </w:style>
  <w:style w:type="paragraph" w:customStyle="1" w:styleId="BulletPointsAPCO">
    <w:name w:val="BulletPoints_APCO"/>
    <w:basedOn w:val="Normal"/>
    <w:qFormat/>
    <w:rsid w:val="008C26A8"/>
    <w:pPr>
      <w:numPr>
        <w:numId w:val="1"/>
      </w:numPr>
      <w:spacing w:line="276" w:lineRule="auto"/>
    </w:pPr>
    <w:rPr>
      <w:rFonts w:ascii="Arial" w:eastAsia="Calibri" w:hAnsi="Arial" w:cs="Arial"/>
      <w:sz w:val="20"/>
      <w:szCs w:val="20"/>
      <w:lang w:eastAsia="ko-KR"/>
    </w:rPr>
  </w:style>
  <w:style w:type="paragraph" w:customStyle="1" w:styleId="HyperlinkANZPAC">
    <w:name w:val="Hyperlink_ANZPAC"/>
    <w:basedOn w:val="BodyCopyAPCO"/>
    <w:qFormat/>
    <w:rsid w:val="00E065E0"/>
    <w:rPr>
      <w:lang w:val="en-AU"/>
    </w:rPr>
  </w:style>
  <w:style w:type="paragraph" w:customStyle="1" w:styleId="Heading1ANZPAC">
    <w:name w:val="Heading1_ANZPAC"/>
    <w:basedOn w:val="Normal"/>
    <w:qFormat/>
    <w:rsid w:val="00D172A5"/>
    <w:pPr>
      <w:spacing w:before="120" w:after="120"/>
      <w:outlineLvl w:val="0"/>
    </w:pPr>
    <w:rPr>
      <w:rFonts w:ascii="Josefin Sans" w:eastAsia="Arial" w:hAnsi="Josefin Sans" w:cs="Arial"/>
      <w:b/>
      <w:color w:val="0D2437"/>
      <w:sz w:val="48"/>
      <w:lang w:val="en-GB" w:eastAsia="ko-KR"/>
    </w:rPr>
  </w:style>
  <w:style w:type="paragraph" w:customStyle="1" w:styleId="QuoteANZPAC">
    <w:name w:val="Quote_ANZPAC"/>
    <w:basedOn w:val="Normal"/>
    <w:qFormat/>
    <w:rsid w:val="001374F9"/>
    <w:rPr>
      <w:rFonts w:ascii="JOSEFIN SANS SEMIBOLD" w:eastAsia="Arial" w:hAnsi="JOSEFIN SANS SEMIBOLD" w:cs="Arial"/>
      <w:b/>
      <w:i/>
      <w:color w:val="0D2437"/>
      <w:sz w:val="28"/>
      <w:szCs w:val="28"/>
      <w:lang w:eastAsia="ko-KR"/>
    </w:rPr>
  </w:style>
  <w:style w:type="paragraph" w:styleId="ListParagraph">
    <w:name w:val="List Paragraph"/>
    <w:basedOn w:val="Normal"/>
    <w:uiPriority w:val="34"/>
    <w:qFormat/>
    <w:rsid w:val="00C56AEC"/>
    <w:pPr>
      <w:ind w:left="720"/>
      <w:contextualSpacing/>
    </w:pPr>
  </w:style>
  <w:style w:type="paragraph" w:customStyle="1" w:styleId="Heading4APCO">
    <w:name w:val="Heading4_APCO"/>
    <w:basedOn w:val="Heading1ANZPAC"/>
    <w:qFormat/>
    <w:rsid w:val="007D6433"/>
    <w:pPr>
      <w:spacing w:line="360" w:lineRule="auto"/>
    </w:pPr>
    <w:rPr>
      <w:b w:val="0"/>
    </w:rPr>
  </w:style>
  <w:style w:type="character" w:styleId="PageNumber">
    <w:name w:val="page number"/>
    <w:basedOn w:val="DefaultParagraphFont"/>
    <w:uiPriority w:val="99"/>
    <w:semiHidden/>
    <w:unhideWhenUsed/>
    <w:rsid w:val="00C7121D"/>
  </w:style>
  <w:style w:type="paragraph" w:customStyle="1" w:styleId="ANZPACtexthyperlink">
    <w:name w:val="ANZPAC_text_hyperlink"/>
    <w:basedOn w:val="Footer"/>
    <w:qFormat/>
    <w:rsid w:val="00E065E0"/>
    <w:rPr>
      <w:rFonts w:ascii="Arial" w:hAnsi="Arial" w:cs="Arial"/>
      <w:color w:val="477BD1" w:themeColor="accent2"/>
    </w:rPr>
  </w:style>
  <w:style w:type="paragraph" w:customStyle="1" w:styleId="BasicParagraph">
    <w:name w:val="[Basic Paragraph]"/>
    <w:basedOn w:val="Normal"/>
    <w:uiPriority w:val="99"/>
    <w:rsid w:val="00812F16"/>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ANZPAC">
    <w:name w:val="SubHeading_ANZPAC"/>
    <w:basedOn w:val="Heading1ANZPAC"/>
    <w:qFormat/>
    <w:rsid w:val="00BD725D"/>
    <w:rPr>
      <w:color w:val="8D3C66"/>
    </w:rPr>
  </w:style>
  <w:style w:type="paragraph" w:customStyle="1" w:styleId="Heading2ANZPAC">
    <w:name w:val="Heading2_ANZPAC"/>
    <w:basedOn w:val="SubHeadingANZPAC"/>
    <w:qFormat/>
    <w:rsid w:val="00D172A5"/>
    <w:rPr>
      <w:sz w:val="32"/>
    </w:rPr>
  </w:style>
  <w:style w:type="table" w:styleId="GridTable1Light-Accent1">
    <w:name w:val="Grid Table 1 Light Accent 1"/>
    <w:basedOn w:val="TableNormal"/>
    <w:uiPriority w:val="46"/>
    <w:rsid w:val="007D10D2"/>
    <w:rPr>
      <w:sz w:val="22"/>
      <w:szCs w:val="22"/>
      <w:lang w:val="en-GB"/>
    </w:r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paragraph" w:customStyle="1" w:styleId="Default">
    <w:name w:val="Default"/>
    <w:rsid w:val="007D10D2"/>
    <w:pPr>
      <w:autoSpaceDE w:val="0"/>
      <w:autoSpaceDN w:val="0"/>
      <w:adjustRightInd w:val="0"/>
    </w:pPr>
    <w:rPr>
      <w:rFonts w:ascii="Montserrat" w:hAnsi="Montserrat" w:cs="Montserrat"/>
      <w:color w:val="000000"/>
      <w:lang w:val="en-GB"/>
    </w:rPr>
  </w:style>
  <w:style w:type="character" w:customStyle="1" w:styleId="Heading2Char">
    <w:name w:val="Heading 2 Char"/>
    <w:basedOn w:val="DefaultParagraphFont"/>
    <w:link w:val="Heading2"/>
    <w:uiPriority w:val="9"/>
    <w:rsid w:val="00006AA2"/>
    <w:rPr>
      <w:rFonts w:asciiTheme="majorHAnsi" w:eastAsiaTheme="majorEastAsia" w:hAnsiTheme="majorHAnsi" w:cstheme="majorBidi"/>
      <w:color w:val="802E90" w:themeColor="accent1" w:themeShade="BF"/>
      <w:sz w:val="26"/>
      <w:szCs w:val="26"/>
      <w:lang w:val="en-GB"/>
    </w:rPr>
  </w:style>
  <w:style w:type="table" w:styleId="GridTable5Dark-Accent3">
    <w:name w:val="Grid Table 5 Dark Accent 3"/>
    <w:basedOn w:val="TableNormal"/>
    <w:uiPriority w:val="50"/>
    <w:rsid w:val="00A21ABD"/>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2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2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customStyle="1" w:styleId="GridTable5Dark-Accent31">
    <w:name w:val="Grid Table 5 Dark - Accent 31"/>
    <w:basedOn w:val="TableNormal"/>
    <w:next w:val="GridTable5Dark-Accent3"/>
    <w:uiPriority w:val="50"/>
    <w:rsid w:val="006D4CAF"/>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CommentReference">
    <w:name w:val="annotation reference"/>
    <w:basedOn w:val="DefaultParagraphFont"/>
    <w:uiPriority w:val="99"/>
    <w:semiHidden/>
    <w:unhideWhenUsed/>
    <w:rsid w:val="007A2360"/>
    <w:rPr>
      <w:sz w:val="16"/>
      <w:szCs w:val="16"/>
    </w:rPr>
  </w:style>
  <w:style w:type="paragraph" w:styleId="CommentText">
    <w:name w:val="annotation text"/>
    <w:basedOn w:val="Normal"/>
    <w:link w:val="CommentTextChar"/>
    <w:uiPriority w:val="99"/>
    <w:unhideWhenUsed/>
    <w:rsid w:val="007A2360"/>
    <w:pPr>
      <w:spacing w:after="160"/>
    </w:pPr>
    <w:rPr>
      <w:sz w:val="20"/>
      <w:szCs w:val="20"/>
      <w:lang w:val="en-GB"/>
    </w:rPr>
  </w:style>
  <w:style w:type="character" w:customStyle="1" w:styleId="CommentTextChar">
    <w:name w:val="Comment Text Char"/>
    <w:basedOn w:val="DefaultParagraphFont"/>
    <w:link w:val="CommentText"/>
    <w:uiPriority w:val="99"/>
    <w:rsid w:val="007A2360"/>
    <w:rPr>
      <w:sz w:val="20"/>
      <w:szCs w:val="20"/>
      <w:lang w:val="en-GB"/>
    </w:rPr>
  </w:style>
  <w:style w:type="paragraph" w:styleId="CommentSubject">
    <w:name w:val="annotation subject"/>
    <w:basedOn w:val="CommentText"/>
    <w:next w:val="CommentText"/>
    <w:link w:val="CommentSubjectChar"/>
    <w:uiPriority w:val="99"/>
    <w:semiHidden/>
    <w:unhideWhenUsed/>
    <w:rsid w:val="006A46C5"/>
    <w:pPr>
      <w:spacing w:after="0"/>
    </w:pPr>
    <w:rPr>
      <w:b/>
      <w:bCs/>
      <w:lang w:val="en-AU"/>
    </w:rPr>
  </w:style>
  <w:style w:type="character" w:customStyle="1" w:styleId="CommentSubjectChar">
    <w:name w:val="Comment Subject Char"/>
    <w:basedOn w:val="CommentTextChar"/>
    <w:link w:val="CommentSubject"/>
    <w:uiPriority w:val="99"/>
    <w:semiHidden/>
    <w:rsid w:val="006A46C5"/>
    <w:rPr>
      <w:b/>
      <w:bCs/>
      <w:sz w:val="20"/>
      <w:szCs w:val="20"/>
      <w:lang w:val="en-GB"/>
    </w:rPr>
  </w:style>
  <w:style w:type="character" w:styleId="PlaceholderText">
    <w:name w:val="Placeholder Text"/>
    <w:basedOn w:val="DefaultParagraphFont"/>
    <w:uiPriority w:val="99"/>
    <w:semiHidden/>
    <w:rsid w:val="001109E9"/>
    <w:rPr>
      <w:color w:val="808080"/>
    </w:rPr>
  </w:style>
  <w:style w:type="paragraph" w:customStyle="1" w:styleId="pf0">
    <w:name w:val="pf0"/>
    <w:basedOn w:val="Normal"/>
    <w:rsid w:val="00A87F1E"/>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A87F1E"/>
    <w:rPr>
      <w:rFonts w:ascii="Segoe UI" w:hAnsi="Segoe UI" w:cs="Segoe UI" w:hint="default"/>
      <w:sz w:val="18"/>
      <w:szCs w:val="18"/>
    </w:rPr>
  </w:style>
  <w:style w:type="paragraph" w:styleId="TOCHeading">
    <w:name w:val="TOC Heading"/>
    <w:basedOn w:val="Heading1"/>
    <w:next w:val="Normal"/>
    <w:uiPriority w:val="39"/>
    <w:unhideWhenUsed/>
    <w:qFormat/>
    <w:rsid w:val="00BF1EF1"/>
    <w:pPr>
      <w:spacing w:line="259" w:lineRule="auto"/>
      <w:outlineLvl w:val="9"/>
    </w:pPr>
    <w:rPr>
      <w:lang w:val="en-US"/>
    </w:rPr>
  </w:style>
  <w:style w:type="paragraph" w:styleId="TOC1">
    <w:name w:val="toc 1"/>
    <w:basedOn w:val="Normal"/>
    <w:next w:val="Normal"/>
    <w:autoRedefine/>
    <w:uiPriority w:val="39"/>
    <w:unhideWhenUsed/>
    <w:rsid w:val="00BF1E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970">
      <w:bodyDiv w:val="1"/>
      <w:marLeft w:val="0"/>
      <w:marRight w:val="0"/>
      <w:marTop w:val="0"/>
      <w:marBottom w:val="0"/>
      <w:divBdr>
        <w:top w:val="none" w:sz="0" w:space="0" w:color="auto"/>
        <w:left w:val="none" w:sz="0" w:space="0" w:color="auto"/>
        <w:bottom w:val="none" w:sz="0" w:space="0" w:color="auto"/>
        <w:right w:val="none" w:sz="0" w:space="0" w:color="auto"/>
      </w:divBdr>
    </w:div>
    <w:div w:id="1284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zpacplasticspact.org.au/wp-content/uploads/2021/06/Specifications-for-baled-clear-PET-bottles.docx"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2.png@01D73C07.0813C530" TargetMode="External"/><Relationship Id="rId10" Type="http://schemas.openxmlformats.org/officeDocument/2006/relationships/hyperlink" Target="https://documents.packagingcovenant.org.au/public-documents/Sustainable%20Packaging%20Guidelines%20(SP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packagingcovenant.org.au/public-documents/Quickstart%20Guide%20-%20Designing%20for%20Recyclability;%20PET%20Packaging"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nzpac@apc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ABAA-EE7D-0543-8591-2005C84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[Test heading]</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heading]</dc:title>
  <dc:subject>[Sub heading]</dc:subject>
  <dc:creator>Microsoft Office User</dc:creator>
  <cp:keywords/>
  <dc:description/>
  <cp:lastModifiedBy>Galia Langley Juter</cp:lastModifiedBy>
  <cp:revision>7</cp:revision>
  <dcterms:created xsi:type="dcterms:W3CDTF">2021-06-03T22:49:00Z</dcterms:created>
  <dcterms:modified xsi:type="dcterms:W3CDTF">2021-06-11T04:05:00Z</dcterms:modified>
</cp:coreProperties>
</file>